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96B2" w14:textId="77777777" w:rsidR="0005324A" w:rsidRPr="0005324A" w:rsidRDefault="0005324A" w:rsidP="0005324A">
      <w:pPr>
        <w:pageBreakBefore/>
        <w:spacing w:after="1560"/>
        <w:contextualSpacing/>
        <w:outlineLvl w:val="0"/>
        <w:rPr>
          <w:rFonts w:ascii="Calibri" w:eastAsia="SimHei" w:hAnsi="Calibri" w:cs="Calibri"/>
          <w:b/>
          <w:color w:val="2A2A2A"/>
          <w:kern w:val="0"/>
          <w:sz w:val="96"/>
          <w:szCs w:val="32"/>
          <w:lang w:val="fr-FR" w:eastAsia="ja-JP"/>
          <w14:ligatures w14:val="none"/>
        </w:rPr>
      </w:pPr>
      <w:bookmarkStart w:id="0" w:name="_Toc226540371"/>
      <w:r w:rsidRPr="0005324A">
        <w:rPr>
          <w:rFonts w:ascii="Calibri" w:eastAsia="SimHei" w:hAnsi="Calibri" w:cs="Calibri"/>
          <w:b/>
          <w:color w:val="2A2A2A"/>
          <w:kern w:val="0"/>
          <w:sz w:val="96"/>
          <w:szCs w:val="32"/>
          <w:lang w:val="fr-FR" w:eastAsia="ja-JP"/>
          <w14:ligatures w14:val="none"/>
        </w:rPr>
        <w:t>Hébreux</w:t>
      </w:r>
      <w:bookmarkEnd w:id="0"/>
    </w:p>
    <w:p w14:paraId="2E8AFB5D" w14:textId="77777777" w:rsidR="0005324A" w:rsidRPr="0005324A" w:rsidRDefault="0005324A" w:rsidP="0005324A">
      <w:pPr>
        <w:keepNext/>
        <w:keepLines/>
        <w:pBdr>
          <w:top w:val="single" w:sz="24" w:space="18" w:color="2A2A2A"/>
        </w:pBdr>
        <w:spacing w:after="320"/>
        <w:contextualSpacing/>
        <w:outlineLvl w:val="1"/>
        <w:rPr>
          <w:rFonts w:ascii="Calibri" w:eastAsia="SimHei" w:hAnsi="Calibri" w:cs="Calibri"/>
          <w:caps/>
          <w:color w:val="3B8DCD"/>
          <w:kern w:val="0"/>
          <w:sz w:val="38"/>
          <w:szCs w:val="26"/>
          <w:lang w:val="fr-FR" w:eastAsia="ja-JP"/>
          <w14:ligatures w14:val="none"/>
        </w:rPr>
      </w:pPr>
      <w:bookmarkStart w:id="1" w:name="_Toc226540372"/>
      <w:r w:rsidRPr="0005324A">
        <w:rPr>
          <w:rFonts w:ascii="Calibri" w:eastAsia="SimHei" w:hAnsi="Calibri" w:cs="Calibri"/>
          <w:caps/>
          <w:color w:val="3B8DCD"/>
          <w:kern w:val="0"/>
          <w:sz w:val="38"/>
          <w:szCs w:val="26"/>
          <w:lang w:val="fr-FR" w:eastAsia="ja-JP"/>
          <w14:ligatures w14:val="none"/>
        </w:rPr>
        <w:t>Introduction</w:t>
      </w:r>
      <w:bookmarkEnd w:id="1"/>
    </w:p>
    <w:p w14:paraId="24D9EA5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 livre est un véritable puzzle qui traite de la suprématie du Christ. Le changement est inévitable, mais il est difficile. Tout change autour d’eux, et ils ont du mal à tourner la page sur leurs 1 500 ans d’histoire. En raison des persécutions et des pressions, ils ont envie de revenir en arrière et de se réfugier dans le passé.</w:t>
      </w:r>
    </w:p>
    <w:p w14:paraId="56FEDC7F" w14:textId="77777777" w:rsidR="0005324A" w:rsidRPr="0005324A" w:rsidRDefault="0005324A" w:rsidP="0005324A">
      <w:pPr>
        <w:pBdr>
          <w:bottom w:val="single" w:sz="12" w:space="1" w:color="auto"/>
        </w:pBd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Environ 35 % de ce livre consiste en citations ou en références aux écrits de l'Ancien Testament. Il s'agit d'une lettre qui fait partie de ce que l'on appelle les épîtres générales, à savoir Hébreux, Jacques, 1–2 Pierre, 1–3 Jean et Jude. Ce livre a pour but d'aider les tout premiers croyants juifs, qui constituent en grande partie la première génération de croyants, à comprendre qu'il y a quelque chose de nouveau qui découle de l'ancien. Le livre montre avant tout que le Christ est supérieur. </w:t>
      </w:r>
    </w:p>
    <w:p w14:paraId="0A5DE163" w14:textId="77777777" w:rsidR="0005324A" w:rsidRPr="0005324A" w:rsidRDefault="0005324A" w:rsidP="0005324A">
      <w:pPr>
        <w:pBdr>
          <w:bottom w:val="single" w:sz="12" w:space="1" w:color="auto"/>
        </w:pBdr>
        <w:spacing w:after="200" w:line="312" w:lineRule="auto"/>
        <w:rPr>
          <w:rFonts w:ascii="Calibri" w:eastAsia="Tahoma" w:hAnsi="Calibri" w:cs="Arial"/>
          <w:color w:val="2A2A2A"/>
          <w:kern w:val="0"/>
          <w:szCs w:val="22"/>
          <w:lang w:val="fr-FR" w:eastAsia="ja-JP"/>
          <w14:ligatures w14:val="none"/>
        </w:rPr>
      </w:pPr>
    </w:p>
    <w:p w14:paraId="4E9C3FFF" w14:textId="77777777" w:rsidR="0005324A" w:rsidRPr="0005324A" w:rsidRDefault="0005324A" w:rsidP="0005324A">
      <w:pPr>
        <w:spacing w:after="200"/>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Formateur : Josué BELL</w:t>
      </w:r>
    </w:p>
    <w:p w14:paraId="5B4FF9D8" w14:textId="77777777" w:rsidR="0005324A" w:rsidRPr="0005324A" w:rsidRDefault="0005324A" w:rsidP="0005324A">
      <w:pPr>
        <w:spacing w:after="200"/>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Contact : +1.603.965.6983 (WhatsApp) ou 77.868.8600</w:t>
      </w:r>
    </w:p>
    <w:p w14:paraId="2630B600" w14:textId="77777777" w:rsidR="0005324A" w:rsidRPr="0005324A" w:rsidRDefault="0005324A" w:rsidP="0005324A">
      <w:pPr>
        <w:spacing w:after="200"/>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Dates : 3ème trimestre 2026</w:t>
      </w:r>
    </w:p>
    <w:p w14:paraId="35C2F25F"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2" w:name="_Toc226540373"/>
      <w:r w:rsidRPr="0005324A">
        <w:rPr>
          <w:rFonts w:ascii="Calibri" w:eastAsia="SimHei" w:hAnsi="Calibri" w:cs="Calibri"/>
          <w:b/>
          <w:color w:val="2A2A2A"/>
          <w:kern w:val="0"/>
          <w:sz w:val="28"/>
          <w:lang w:val="fr-FR" w:eastAsia="ja-JP"/>
          <w14:ligatures w14:val="none"/>
        </w:rPr>
        <w:t>Description :</w:t>
      </w:r>
      <w:bookmarkEnd w:id="2"/>
      <w:r w:rsidRPr="0005324A">
        <w:rPr>
          <w:rFonts w:ascii="Calibri" w:eastAsia="SimHei" w:hAnsi="Calibri" w:cs="Calibri"/>
          <w:b/>
          <w:color w:val="2A2A2A"/>
          <w:kern w:val="0"/>
          <w:sz w:val="28"/>
          <w:lang w:val="fr-FR" w:eastAsia="ja-JP"/>
          <w14:ligatures w14:val="none"/>
        </w:rPr>
        <w:t xml:space="preserve"> </w:t>
      </w:r>
    </w:p>
    <w:p w14:paraId="12D8EE39"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 temps est consacré à l'exégèse de la lettre aux Hébreux. Ce livre peut être compris si on l'étudie attentivement en mettant de côté les idées préconçues que l'on a à son sujet. Certains soutiennent que ce livre nous montre qu'une personne véritablement sauvée produira de bons fruits, tandis que d'autres affirment que les croyants peuvent s'égarer et perdre leur salut. Je soutiens qu'aucune de ces perspectives n'est exacte ni fondée sur le texte lui-même. Ce cours vise à montrer en quoi Jésus est supérieur à tous égards, tout en encourageant les croyants à persévérer dans la souffrance afin d'obtenir une meilleure résurrection.</w:t>
      </w:r>
    </w:p>
    <w:p w14:paraId="2737ADAA"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3" w:name="_Toc226540374"/>
      <w:r w:rsidRPr="0005324A">
        <w:rPr>
          <w:rFonts w:ascii="Calibri" w:eastAsia="SimHei" w:hAnsi="Calibri" w:cs="Calibri"/>
          <w:b/>
          <w:color w:val="2A2A2A"/>
          <w:kern w:val="0"/>
          <w:sz w:val="28"/>
          <w:lang w:val="fr-FR" w:eastAsia="ja-JP"/>
          <w14:ligatures w14:val="none"/>
        </w:rPr>
        <w:lastRenderedPageBreak/>
        <w:t>Objectifs :</w:t>
      </w:r>
      <w:bookmarkEnd w:id="3"/>
      <w:r w:rsidRPr="0005324A">
        <w:rPr>
          <w:rFonts w:ascii="Calibri" w:eastAsia="SimHei" w:hAnsi="Calibri" w:cs="Calibri"/>
          <w:b/>
          <w:color w:val="2A2A2A"/>
          <w:kern w:val="0"/>
          <w:sz w:val="28"/>
          <w:lang w:val="fr-FR" w:eastAsia="ja-JP"/>
          <w14:ligatures w14:val="none"/>
        </w:rPr>
        <w:t xml:space="preserve"> </w:t>
      </w:r>
    </w:p>
    <w:p w14:paraId="1E0E2C00"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Expliquer les problèmes auxquels était confrontée l'Église primitive, en particulier les croyants d'origine juive qui étaient isolés, persécutés et tentés de retourner à leur ancienne foi.</w:t>
      </w:r>
    </w:p>
    <w:p w14:paraId="20BABC4A"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Donner une réponse biblique à ceux qui pensent qu'un croyant peut perdre son salut ou qu'un mode de vie pécheresse signifie que quelqu'un n'a jamais été véritablement sauvé. </w:t>
      </w:r>
    </w:p>
    <w:p w14:paraId="36D636E1"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Comprendre comment vivre en communion avec Dieu et être sûr de notre relation éternelle avec lui. </w:t>
      </w:r>
    </w:p>
    <w:p w14:paraId="530420F7"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Connaître le lien entre le service et les récompenses. Connaître aussi la différence entre marcher par la foi et marcher par la vue. </w:t>
      </w:r>
    </w:p>
    <w:p w14:paraId="60718BA8"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Relier les pensées de cet auteur aux passages de l'Ancien Testament qu'il cite. </w:t>
      </w:r>
    </w:p>
    <w:p w14:paraId="7F078365"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Être assuré que Dieu est fidèle dans nos souffrances et que nous pouvons nous accrocher à ses promesses. </w:t>
      </w:r>
    </w:p>
    <w:p w14:paraId="5E48B1F3"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Assumer la responsabilité de nos propres actions et attitudes envers le message de Dieu.</w:t>
      </w:r>
    </w:p>
    <w:p w14:paraId="25DFA5A6" w14:textId="77777777" w:rsidR="0005324A" w:rsidRPr="0005324A" w:rsidRDefault="0005324A" w:rsidP="0005324A">
      <w:pPr>
        <w:numPr>
          <w:ilvl w:val="0"/>
          <w:numId w:val="12"/>
        </w:numPr>
        <w:spacing w:after="200" w:line="312" w:lineRule="auto"/>
        <w:contextualSpacing/>
        <w:rPr>
          <w:rFonts w:ascii="Calibri" w:eastAsia="SimHei" w:hAnsi="Calibri" w:cs="Calibri"/>
          <w:lang w:val="fr-FR"/>
        </w:rPr>
      </w:pPr>
      <w:r w:rsidRPr="0005324A">
        <w:rPr>
          <w:rFonts w:ascii="Calibri" w:eastAsia="SimHei" w:hAnsi="Calibri" w:cs="Calibri"/>
          <w:lang w:val="fr-FR"/>
        </w:rPr>
        <w:t>Comprendre et appliquer les passages d’avertissement tout en saisissant leur place dans le sens global de la lettre (He 3,4,6, et 10).</w:t>
      </w:r>
    </w:p>
    <w:p w14:paraId="0FE29A23" w14:textId="77777777" w:rsidR="0005324A" w:rsidRPr="0005324A" w:rsidRDefault="0005324A" w:rsidP="0005324A">
      <w:pPr>
        <w:ind w:left="720"/>
        <w:contextualSpacing/>
        <w:rPr>
          <w:rFonts w:ascii="Calibri" w:eastAsia="SimHei" w:hAnsi="Calibri" w:cs="Calibri"/>
          <w:lang w:val="fr-FR"/>
        </w:rPr>
      </w:pPr>
    </w:p>
    <w:p w14:paraId="033FF979"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4" w:name="_Toc226540375"/>
      <w:r w:rsidRPr="0005324A">
        <w:rPr>
          <w:rFonts w:ascii="Calibri" w:eastAsia="SimHei" w:hAnsi="Calibri" w:cs="Calibri"/>
          <w:b/>
          <w:color w:val="2A2A2A"/>
          <w:kern w:val="0"/>
          <w:sz w:val="28"/>
          <w:lang w:val="fr-FR" w:eastAsia="ja-JP"/>
          <w14:ligatures w14:val="none"/>
        </w:rPr>
        <w:t>Devoirs :</w:t>
      </w:r>
      <w:bookmarkEnd w:id="4"/>
      <w:r w:rsidRPr="0005324A">
        <w:rPr>
          <w:rFonts w:ascii="Calibri" w:eastAsia="SimHei" w:hAnsi="Calibri" w:cs="Calibri"/>
          <w:b/>
          <w:color w:val="2A2A2A"/>
          <w:kern w:val="0"/>
          <w:sz w:val="28"/>
          <w:lang w:val="fr-FR" w:eastAsia="ja-JP"/>
          <w14:ligatures w14:val="none"/>
        </w:rPr>
        <w:t xml:space="preserve"> </w:t>
      </w:r>
    </w:p>
    <w:p w14:paraId="485258BE" w14:textId="77777777" w:rsidR="0005324A" w:rsidRPr="0005324A" w:rsidRDefault="0005324A" w:rsidP="0005324A">
      <w:pPr>
        <w:numPr>
          <w:ilvl w:val="0"/>
          <w:numId w:val="9"/>
        </w:numPr>
        <w:spacing w:after="200" w:line="312" w:lineRule="auto"/>
        <w:contextualSpacing/>
        <w:rPr>
          <w:rFonts w:ascii="Calibri" w:eastAsia="SimHei" w:hAnsi="Calibri" w:cs="Calibri"/>
          <w:lang w:val="fr-FR"/>
        </w:rPr>
      </w:pPr>
      <w:r w:rsidRPr="0005324A">
        <w:rPr>
          <w:rFonts w:ascii="Calibri" w:eastAsia="SimHei" w:hAnsi="Calibri" w:cs="Calibri"/>
          <w:u w:val="single"/>
          <w:lang w:val="fr-FR"/>
        </w:rPr>
        <w:t>Lecture</w:t>
      </w:r>
      <w:r w:rsidRPr="0005324A">
        <w:rPr>
          <w:rFonts w:ascii="Calibri" w:eastAsia="SimHei" w:hAnsi="Calibri" w:cs="Calibri"/>
          <w:lang w:val="fr-FR"/>
        </w:rPr>
        <w:t xml:space="preserve"> : Les étudiantes doivent lire </w:t>
      </w:r>
      <w:r w:rsidRPr="0005324A">
        <w:rPr>
          <w:rFonts w:ascii="Calibri" w:eastAsia="SimHei" w:hAnsi="Calibri" w:cs="Calibri"/>
          <w:b/>
          <w:bCs/>
          <w:u w:val="single"/>
          <w:lang w:val="fr-FR"/>
        </w:rPr>
        <w:t>deux fois</w:t>
      </w:r>
      <w:r w:rsidRPr="0005324A">
        <w:rPr>
          <w:rFonts w:ascii="Calibri" w:eastAsia="SimHei" w:hAnsi="Calibri" w:cs="Calibri"/>
          <w:lang w:val="fr-FR"/>
        </w:rPr>
        <w:t xml:space="preserve"> le livre d’Hébreux. </w:t>
      </w:r>
    </w:p>
    <w:p w14:paraId="1A235D4D" w14:textId="77777777" w:rsidR="0005324A" w:rsidRPr="0005324A" w:rsidRDefault="0005324A" w:rsidP="0005324A">
      <w:pPr>
        <w:numPr>
          <w:ilvl w:val="0"/>
          <w:numId w:val="9"/>
        </w:numPr>
        <w:spacing w:after="200" w:line="312" w:lineRule="auto"/>
        <w:contextualSpacing/>
        <w:rPr>
          <w:rFonts w:ascii="Calibri" w:eastAsia="SimHei" w:hAnsi="Calibri" w:cs="Calibri"/>
          <w:color w:val="EE0000"/>
          <w:lang w:val="fr-FR"/>
        </w:rPr>
      </w:pPr>
      <w:r w:rsidRPr="0005324A">
        <w:rPr>
          <w:rFonts w:ascii="Calibri" w:eastAsia="SimHei" w:hAnsi="Calibri" w:cs="Calibri"/>
          <w:u w:val="single"/>
          <w:lang w:val="fr-FR"/>
        </w:rPr>
        <w:t>Devoirs</w:t>
      </w:r>
      <w:r w:rsidRPr="0005324A">
        <w:rPr>
          <w:rFonts w:ascii="Calibri" w:eastAsia="SimHei" w:hAnsi="Calibri" w:cs="Calibri"/>
          <w:lang w:val="fr-FR"/>
        </w:rPr>
        <w:t xml:space="preserve"> : Il y aura un examen à mi-parcours et un examen final</w:t>
      </w:r>
      <w:r w:rsidRPr="0005324A">
        <w:rPr>
          <w:rFonts w:ascii="Calibri" w:eastAsia="SimHei" w:hAnsi="Calibri" w:cs="Calibri"/>
          <w:color w:val="EE0000"/>
          <w:lang w:val="fr-FR"/>
        </w:rPr>
        <w:t>.</w:t>
      </w:r>
    </w:p>
    <w:p w14:paraId="59BF0925"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p>
    <w:p w14:paraId="10CEB6CC"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Les étudiants doivent :</w:t>
      </w:r>
    </w:p>
    <w:p w14:paraId="6547683B" w14:textId="77777777" w:rsidR="0005324A" w:rsidRPr="0005324A" w:rsidRDefault="0005324A" w:rsidP="0005324A">
      <w:pPr>
        <w:numPr>
          <w:ilvl w:val="0"/>
          <w:numId w:val="8"/>
        </w:numPr>
        <w:spacing w:after="200" w:line="312" w:lineRule="auto"/>
        <w:contextualSpacing/>
        <w:rPr>
          <w:rFonts w:ascii="Calibri" w:eastAsia="SimHei" w:hAnsi="Calibri" w:cs="Calibri"/>
          <w:lang w:val="fr-FR"/>
        </w:rPr>
      </w:pPr>
      <w:r w:rsidRPr="0005324A">
        <w:rPr>
          <w:rFonts w:ascii="Calibri" w:eastAsia="SimHei" w:hAnsi="Calibri" w:cs="Calibri"/>
          <w:lang w:val="fr-FR"/>
        </w:rPr>
        <w:t>Rendre tous les devoirs à temps.</w:t>
      </w:r>
    </w:p>
    <w:p w14:paraId="7F767B24" w14:textId="77777777" w:rsidR="0005324A" w:rsidRPr="0005324A" w:rsidRDefault="0005324A" w:rsidP="0005324A">
      <w:pPr>
        <w:numPr>
          <w:ilvl w:val="0"/>
          <w:numId w:val="8"/>
        </w:numPr>
        <w:spacing w:after="200" w:line="312" w:lineRule="auto"/>
        <w:contextualSpacing/>
        <w:rPr>
          <w:rFonts w:ascii="Calibri" w:eastAsia="SimHei" w:hAnsi="Calibri" w:cs="Calibri"/>
          <w:lang w:val="fr-FR"/>
        </w:rPr>
      </w:pPr>
      <w:r w:rsidRPr="0005324A">
        <w:rPr>
          <w:rFonts w:ascii="Calibri" w:eastAsia="SimHei" w:hAnsi="Calibri" w:cs="Calibri"/>
          <w:lang w:val="fr-FR"/>
        </w:rPr>
        <w:t>Participer aux discussions en classe.</w:t>
      </w:r>
    </w:p>
    <w:p w14:paraId="7F5F20DD" w14:textId="77777777" w:rsidR="0005324A" w:rsidRPr="0005324A" w:rsidRDefault="0005324A" w:rsidP="0005324A">
      <w:pPr>
        <w:numPr>
          <w:ilvl w:val="0"/>
          <w:numId w:val="8"/>
        </w:numPr>
        <w:spacing w:after="200" w:line="312" w:lineRule="auto"/>
        <w:contextualSpacing/>
        <w:rPr>
          <w:rFonts w:ascii="Calibri" w:eastAsia="SimHei" w:hAnsi="Calibri" w:cs="Calibri"/>
          <w:lang w:val="fr-FR"/>
        </w:rPr>
      </w:pPr>
      <w:r w:rsidRPr="0005324A">
        <w:rPr>
          <w:rFonts w:ascii="Calibri" w:eastAsia="SimHei" w:hAnsi="Calibri" w:cs="Calibri"/>
          <w:lang w:val="fr-FR"/>
        </w:rPr>
        <w:t>Poser des questions lorsqu'ils ne comprennent pas quelque chose dans le cours.</w:t>
      </w:r>
    </w:p>
    <w:p w14:paraId="7F7CCA2C" w14:textId="77777777" w:rsidR="0005324A" w:rsidRPr="0005324A" w:rsidRDefault="0005324A" w:rsidP="0005324A">
      <w:pPr>
        <w:numPr>
          <w:ilvl w:val="0"/>
          <w:numId w:val="8"/>
        </w:numPr>
        <w:spacing w:after="200" w:line="312" w:lineRule="auto"/>
        <w:contextualSpacing/>
        <w:rPr>
          <w:rFonts w:ascii="Calibri" w:eastAsia="SimHei" w:hAnsi="Calibri" w:cs="Calibri"/>
          <w:lang w:val="fr-FR"/>
        </w:rPr>
      </w:pPr>
      <w:r w:rsidRPr="0005324A">
        <w:rPr>
          <w:rFonts w:ascii="Calibri" w:eastAsia="SimHei" w:hAnsi="Calibri" w:cs="Calibri"/>
          <w:lang w:val="fr-FR"/>
        </w:rPr>
        <w:t>Bien comprendre le contenu du cours (si c’est bien communiqué) et appliquer ces vérités à leur vie.</w:t>
      </w:r>
    </w:p>
    <w:p w14:paraId="7164FEFB" w14:textId="77777777" w:rsidR="0005324A" w:rsidRPr="0005324A" w:rsidRDefault="0005324A" w:rsidP="0005324A">
      <w:pPr>
        <w:ind w:left="720"/>
        <w:contextualSpacing/>
        <w:rPr>
          <w:rFonts w:ascii="Calibri" w:eastAsia="SimHei" w:hAnsi="Calibri" w:cs="Calibri"/>
          <w:lang w:val="fr-FR"/>
        </w:rPr>
      </w:pPr>
    </w:p>
    <w:p w14:paraId="4A96CCE8"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 xml:space="preserve">Règlement : Veuillez consulter </w:t>
      </w:r>
      <w:r w:rsidRPr="0005324A">
        <w:rPr>
          <w:rFonts w:ascii="Calibri" w:eastAsia="Tahoma" w:hAnsi="Calibri" w:cs="Calibri"/>
          <w:i/>
          <w:iCs/>
          <w:color w:val="2A2A2A"/>
          <w:kern w:val="0"/>
          <w:szCs w:val="22"/>
          <w:lang w:val="fr-FR" w:eastAsia="ja-JP"/>
          <w14:ligatures w14:val="none"/>
        </w:rPr>
        <w:t>le règlement intérieur</w:t>
      </w:r>
      <w:r w:rsidRPr="0005324A">
        <w:rPr>
          <w:rFonts w:ascii="Calibri" w:eastAsia="Tahoma" w:hAnsi="Calibri" w:cs="Calibri"/>
          <w:color w:val="2A2A2A"/>
          <w:kern w:val="0"/>
          <w:szCs w:val="22"/>
          <w:lang w:val="fr-FR" w:eastAsia="ja-JP"/>
          <w14:ligatures w14:val="none"/>
        </w:rPr>
        <w:t xml:space="preserve"> pour plus de détails.</w:t>
      </w:r>
    </w:p>
    <w:bookmarkStart w:id="5" w:name="_Toc226540376" w:displacedByCustomXml="next"/>
    <w:sdt>
      <w:sdtPr>
        <w:rPr>
          <w:rFonts w:ascii="Calibri" w:eastAsia="Tahoma" w:hAnsi="Calibri" w:cs="Calibri"/>
          <w:color w:val="2A2A2A"/>
          <w:kern w:val="0"/>
          <w:sz w:val="22"/>
          <w:szCs w:val="22"/>
          <w:lang w:val="fr-FR" w:eastAsia="ja-JP"/>
          <w14:ligatures w14:val="none"/>
        </w:rPr>
        <w:id w:val="1347755684"/>
        <w:docPartObj>
          <w:docPartGallery w:val="Table of Contents"/>
          <w:docPartUnique/>
        </w:docPartObj>
      </w:sdtPr>
      <w:sdtEndPr>
        <w:rPr>
          <w:bCs/>
          <w:sz w:val="24"/>
        </w:rPr>
      </w:sdtEndPr>
      <w:sdtContent>
        <w:bookmarkStart w:id="6" w:name="_Toc222234272" w:displacedByCustomXml="prev"/>
        <w:p w14:paraId="163FC583" w14:textId="77777777" w:rsidR="0005324A" w:rsidRPr="0005324A" w:rsidRDefault="0005324A" w:rsidP="0005324A">
          <w:pPr>
            <w:pageBreakBefore/>
            <w:spacing w:after="1560"/>
            <w:contextualSpacing/>
            <w:outlineLvl w:val="0"/>
            <w:rPr>
              <w:rFonts w:ascii="Calibri" w:eastAsia="SimHei" w:hAnsi="Calibri" w:cs="Calibri"/>
              <w:b/>
              <w:color w:val="2A2A2A"/>
              <w:kern w:val="0"/>
              <w:sz w:val="96"/>
              <w:szCs w:val="32"/>
              <w:lang w:val="fr-FR" w:eastAsia="ja-JP"/>
              <w14:ligatures w14:val="none"/>
            </w:rPr>
          </w:pPr>
          <w:r w:rsidRPr="0005324A">
            <w:rPr>
              <w:rFonts w:ascii="Calibri" w:eastAsia="SimHei" w:hAnsi="Calibri" w:cs="Calibri"/>
              <w:b/>
              <w:color w:val="2A2A2A"/>
              <w:kern w:val="0"/>
              <w:sz w:val="96"/>
              <w:szCs w:val="32"/>
              <w:lang w:val="fr-FR" w:eastAsia="ja-JP"/>
              <w14:ligatures w14:val="none"/>
            </w:rPr>
            <w:t>Table des matières :</w:t>
          </w:r>
          <w:bookmarkEnd w:id="5"/>
          <w:bookmarkEnd w:id="6"/>
        </w:p>
        <w:p w14:paraId="2788F547" w14:textId="77777777" w:rsidR="0005324A" w:rsidRPr="0005324A" w:rsidRDefault="0005324A" w:rsidP="0005324A">
          <w:pPr>
            <w:tabs>
              <w:tab w:val="right" w:leader="dot" w:pos="10070"/>
            </w:tabs>
            <w:spacing w:before="120" w:line="312" w:lineRule="auto"/>
            <w:rPr>
              <w:rFonts w:ascii="Tahoma" w:eastAsia="SimHei" w:hAnsi="Tahoma" w:cs="Arial"/>
              <w:noProof/>
            </w:rPr>
          </w:pPr>
          <w:r w:rsidRPr="0005324A">
            <w:rPr>
              <w:rFonts w:ascii="Calibri" w:eastAsia="SimHei" w:hAnsi="Calibri" w:cs="Calibri"/>
              <w:b/>
              <w:i/>
              <w:iCs/>
              <w:color w:val="2A2A2A"/>
              <w:kern w:val="0"/>
              <w:sz w:val="36"/>
              <w:lang w:val="fr-FR" w:eastAsia="ja-JP"/>
              <w14:ligatures w14:val="none"/>
            </w:rPr>
            <w:fldChar w:fldCharType="begin"/>
          </w:r>
          <w:r w:rsidRPr="0005324A">
            <w:rPr>
              <w:rFonts w:ascii="Calibri" w:eastAsia="Tahoma" w:hAnsi="Calibri" w:cs="Calibri"/>
              <w:b/>
              <w:bCs/>
              <w:i/>
              <w:iCs/>
              <w:color w:val="2A2A2A"/>
              <w:kern w:val="0"/>
              <w:szCs w:val="28"/>
              <w:lang w:val="fr-FR" w:eastAsia="ja-JP"/>
              <w14:ligatures w14:val="none"/>
            </w:rPr>
            <w:instrText xml:space="preserve"> TOC \o "1-3" \h \z \u </w:instrText>
          </w:r>
          <w:r w:rsidRPr="0005324A">
            <w:rPr>
              <w:rFonts w:ascii="Calibri" w:eastAsia="SimHei" w:hAnsi="Calibri" w:cs="Calibri"/>
              <w:b/>
              <w:i/>
              <w:iCs/>
              <w:color w:val="2A2A2A"/>
              <w:kern w:val="0"/>
              <w:sz w:val="36"/>
              <w:lang w:val="fr-FR" w:eastAsia="ja-JP"/>
              <w14:ligatures w14:val="none"/>
            </w:rPr>
            <w:fldChar w:fldCharType="separate"/>
          </w:r>
          <w:hyperlink w:anchor="_Toc226540371" w:history="1">
            <w:r w:rsidRPr="0005324A">
              <w:rPr>
                <w:rFonts w:ascii="Calibri" w:eastAsia="Tahoma" w:hAnsi="Calibri" w:cs="Calibri"/>
                <w:b/>
                <w:bCs/>
                <w:i/>
                <w:iCs/>
                <w:noProof/>
                <w:color w:val="847B97"/>
                <w:kern w:val="0"/>
                <w:szCs w:val="28"/>
                <w:u w:val="single"/>
                <w:lang w:val="fr-FR" w:eastAsia="ja-JP"/>
                <w14:ligatures w14:val="none"/>
              </w:rPr>
              <w:t>Hébreux</w:t>
            </w:r>
            <w:r w:rsidRPr="0005324A">
              <w:rPr>
                <w:rFonts w:ascii="Tahoma" w:eastAsia="Tahoma" w:hAnsi="Tahoma" w:cs="Tahoma"/>
                <w:b/>
                <w:bCs/>
                <w:i/>
                <w:iCs/>
                <w:noProof/>
                <w:webHidden/>
                <w:color w:val="2A2A2A"/>
                <w:kern w:val="0"/>
                <w:szCs w:val="28"/>
                <w:lang w:eastAsia="ja-JP"/>
                <w14:ligatures w14:val="none"/>
              </w:rPr>
              <w:tab/>
            </w:r>
            <w:r w:rsidRPr="0005324A">
              <w:rPr>
                <w:rFonts w:ascii="Tahoma" w:eastAsia="Tahoma" w:hAnsi="Tahoma" w:cs="Tahoma"/>
                <w:b/>
                <w:bCs/>
                <w:i/>
                <w:iCs/>
                <w:noProof/>
                <w:webHidden/>
                <w:color w:val="2A2A2A"/>
                <w:kern w:val="0"/>
                <w:szCs w:val="28"/>
                <w:lang w:eastAsia="ja-JP"/>
                <w14:ligatures w14:val="none"/>
              </w:rPr>
              <w:fldChar w:fldCharType="begin"/>
            </w:r>
            <w:r w:rsidRPr="0005324A">
              <w:rPr>
                <w:rFonts w:ascii="Tahoma" w:eastAsia="Tahoma" w:hAnsi="Tahoma" w:cs="Tahoma"/>
                <w:b/>
                <w:bCs/>
                <w:i/>
                <w:iCs/>
                <w:noProof/>
                <w:webHidden/>
                <w:color w:val="2A2A2A"/>
                <w:kern w:val="0"/>
                <w:szCs w:val="28"/>
                <w:lang w:eastAsia="ja-JP"/>
                <w14:ligatures w14:val="none"/>
              </w:rPr>
              <w:instrText xml:space="preserve"> PAGEREF _Toc226540371 \h </w:instrText>
            </w:r>
            <w:r w:rsidRPr="0005324A">
              <w:rPr>
                <w:rFonts w:ascii="Tahoma" w:eastAsia="Tahoma" w:hAnsi="Tahoma" w:cs="Tahoma"/>
                <w:b/>
                <w:bCs/>
                <w:i/>
                <w:iCs/>
                <w:noProof/>
                <w:webHidden/>
                <w:color w:val="2A2A2A"/>
                <w:kern w:val="0"/>
                <w:szCs w:val="28"/>
                <w:lang w:eastAsia="ja-JP"/>
                <w14:ligatures w14:val="none"/>
              </w:rPr>
            </w:r>
            <w:r w:rsidRPr="0005324A">
              <w:rPr>
                <w:rFonts w:ascii="Tahoma" w:eastAsia="Tahoma" w:hAnsi="Tahoma" w:cs="Tahoma"/>
                <w:b/>
                <w:bCs/>
                <w:i/>
                <w:iCs/>
                <w:noProof/>
                <w:webHidden/>
                <w:color w:val="2A2A2A"/>
                <w:kern w:val="0"/>
                <w:szCs w:val="28"/>
                <w:lang w:eastAsia="ja-JP"/>
                <w14:ligatures w14:val="none"/>
              </w:rPr>
              <w:fldChar w:fldCharType="separate"/>
            </w:r>
            <w:r w:rsidRPr="0005324A">
              <w:rPr>
                <w:rFonts w:ascii="Tahoma" w:eastAsia="Tahoma" w:hAnsi="Tahoma" w:cs="Tahoma"/>
                <w:b/>
                <w:bCs/>
                <w:i/>
                <w:iCs/>
                <w:noProof/>
                <w:webHidden/>
                <w:color w:val="2A2A2A"/>
                <w:kern w:val="0"/>
                <w:szCs w:val="28"/>
                <w:lang w:eastAsia="ja-JP"/>
                <w14:ligatures w14:val="none"/>
              </w:rPr>
              <w:t>1</w:t>
            </w:r>
            <w:r w:rsidRPr="0005324A">
              <w:rPr>
                <w:rFonts w:ascii="Tahoma" w:eastAsia="Tahoma" w:hAnsi="Tahoma" w:cs="Tahoma"/>
                <w:b/>
                <w:bCs/>
                <w:i/>
                <w:iCs/>
                <w:noProof/>
                <w:webHidden/>
                <w:color w:val="2A2A2A"/>
                <w:kern w:val="0"/>
                <w:szCs w:val="28"/>
                <w:lang w:eastAsia="ja-JP"/>
                <w14:ligatures w14:val="none"/>
              </w:rPr>
              <w:fldChar w:fldCharType="end"/>
            </w:r>
          </w:hyperlink>
        </w:p>
        <w:p w14:paraId="4C367198"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72" w:history="1">
            <w:r w:rsidRPr="0005324A">
              <w:rPr>
                <w:rFonts w:ascii="Tahoma" w:eastAsia="Tahoma" w:hAnsi="Tahoma" w:cs="Calibri"/>
                <w:b/>
                <w:bCs/>
                <w:noProof/>
                <w:color w:val="847B97"/>
                <w:kern w:val="0"/>
                <w:szCs w:val="26"/>
                <w:u w:val="single"/>
                <w:lang w:val="fr-FR" w:eastAsia="ja-JP"/>
                <w14:ligatures w14:val="none"/>
              </w:rPr>
              <w:t>Introduction</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_Toc226540372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1</w:t>
            </w:r>
            <w:r w:rsidRPr="0005324A">
              <w:rPr>
                <w:rFonts w:ascii="Tahoma" w:eastAsia="Tahoma" w:hAnsi="Tahoma" w:cs="Tahoma"/>
                <w:b/>
                <w:bCs/>
                <w:noProof/>
                <w:webHidden/>
                <w:color w:val="2A2A2A"/>
                <w:kern w:val="0"/>
                <w:szCs w:val="26"/>
                <w:lang w:eastAsia="ja-JP"/>
                <w14:ligatures w14:val="none"/>
              </w:rPr>
              <w:fldChar w:fldCharType="end"/>
            </w:r>
          </w:hyperlink>
        </w:p>
        <w:p w14:paraId="5FB0B506"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73" w:history="1">
            <w:r w:rsidRPr="0005324A">
              <w:rPr>
                <w:rFonts w:ascii="Tahoma" w:eastAsia="Tahoma" w:hAnsi="Tahoma" w:cs="Tahoma"/>
                <w:noProof/>
                <w:color w:val="847B97"/>
                <w:kern w:val="0"/>
                <w:sz w:val="20"/>
                <w:u w:val="single"/>
                <w:lang w:eastAsia="ja-JP"/>
                <w14:ligatures w14:val="none"/>
              </w:rPr>
              <w:t>Description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_Toc226540373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1</w:t>
            </w:r>
            <w:r w:rsidRPr="0005324A">
              <w:rPr>
                <w:rFonts w:ascii="Tahoma" w:eastAsia="Tahoma" w:hAnsi="Tahoma" w:cs="Tahoma"/>
                <w:noProof/>
                <w:webHidden/>
                <w:color w:val="2A2A2A"/>
                <w:kern w:val="0"/>
                <w:sz w:val="20"/>
                <w:lang w:eastAsia="ja-JP"/>
                <w14:ligatures w14:val="none"/>
              </w:rPr>
              <w:fldChar w:fldCharType="end"/>
            </w:r>
          </w:hyperlink>
        </w:p>
        <w:p w14:paraId="191D9B19"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74" w:history="1">
            <w:r w:rsidRPr="0005324A">
              <w:rPr>
                <w:rFonts w:ascii="Tahoma" w:eastAsia="Tahoma" w:hAnsi="Tahoma" w:cs="Tahoma"/>
                <w:noProof/>
                <w:color w:val="847B97"/>
                <w:kern w:val="0"/>
                <w:sz w:val="20"/>
                <w:u w:val="single"/>
                <w:lang w:eastAsia="ja-JP"/>
                <w14:ligatures w14:val="none"/>
              </w:rPr>
              <w:t>Objectifs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_Toc226540374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2</w:t>
            </w:r>
            <w:r w:rsidRPr="0005324A">
              <w:rPr>
                <w:rFonts w:ascii="Tahoma" w:eastAsia="Tahoma" w:hAnsi="Tahoma" w:cs="Tahoma"/>
                <w:noProof/>
                <w:webHidden/>
                <w:color w:val="2A2A2A"/>
                <w:kern w:val="0"/>
                <w:sz w:val="20"/>
                <w:lang w:eastAsia="ja-JP"/>
                <w14:ligatures w14:val="none"/>
              </w:rPr>
              <w:fldChar w:fldCharType="end"/>
            </w:r>
          </w:hyperlink>
        </w:p>
        <w:p w14:paraId="1FD3C17C"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75" w:history="1">
            <w:r w:rsidRPr="0005324A">
              <w:rPr>
                <w:rFonts w:ascii="Tahoma" w:eastAsia="Tahoma" w:hAnsi="Tahoma" w:cs="Tahoma"/>
                <w:noProof/>
                <w:color w:val="847B97"/>
                <w:kern w:val="0"/>
                <w:sz w:val="20"/>
                <w:u w:val="single"/>
                <w:lang w:eastAsia="ja-JP"/>
                <w14:ligatures w14:val="none"/>
              </w:rPr>
              <w:t>Devoirs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_Toc226540375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2</w:t>
            </w:r>
            <w:r w:rsidRPr="0005324A">
              <w:rPr>
                <w:rFonts w:ascii="Tahoma" w:eastAsia="Tahoma" w:hAnsi="Tahoma" w:cs="Tahoma"/>
                <w:noProof/>
                <w:webHidden/>
                <w:color w:val="2A2A2A"/>
                <w:kern w:val="0"/>
                <w:sz w:val="20"/>
                <w:lang w:eastAsia="ja-JP"/>
                <w14:ligatures w14:val="none"/>
              </w:rPr>
              <w:fldChar w:fldCharType="end"/>
            </w:r>
          </w:hyperlink>
        </w:p>
        <w:p w14:paraId="19B27CC1" w14:textId="77777777" w:rsidR="0005324A" w:rsidRPr="0005324A" w:rsidRDefault="0005324A" w:rsidP="0005324A">
          <w:pPr>
            <w:tabs>
              <w:tab w:val="right" w:leader="dot" w:pos="10070"/>
            </w:tabs>
            <w:spacing w:before="120" w:line="312" w:lineRule="auto"/>
            <w:rPr>
              <w:rFonts w:ascii="Tahoma" w:eastAsia="SimHei" w:hAnsi="Tahoma" w:cs="Arial"/>
              <w:noProof/>
            </w:rPr>
          </w:pPr>
          <w:hyperlink w:anchor="_Toc226540376" w:history="1">
            <w:r w:rsidRPr="0005324A">
              <w:rPr>
                <w:rFonts w:ascii="Calibri" w:eastAsia="Tahoma" w:hAnsi="Calibri" w:cs="Calibri"/>
                <w:b/>
                <w:bCs/>
                <w:i/>
                <w:iCs/>
                <w:noProof/>
                <w:color w:val="847B97"/>
                <w:kern w:val="0"/>
                <w:szCs w:val="28"/>
                <w:u w:val="single"/>
                <w:lang w:val="fr-FR" w:eastAsia="ja-JP"/>
                <w14:ligatures w14:val="none"/>
              </w:rPr>
              <w:t>Table des matières :</w:t>
            </w:r>
            <w:r w:rsidRPr="0005324A">
              <w:rPr>
                <w:rFonts w:ascii="Tahoma" w:eastAsia="Tahoma" w:hAnsi="Tahoma" w:cs="Tahoma"/>
                <w:b/>
                <w:bCs/>
                <w:i/>
                <w:iCs/>
                <w:noProof/>
                <w:webHidden/>
                <w:color w:val="2A2A2A"/>
                <w:kern w:val="0"/>
                <w:szCs w:val="28"/>
                <w:lang w:eastAsia="ja-JP"/>
                <w14:ligatures w14:val="none"/>
              </w:rPr>
              <w:tab/>
            </w:r>
            <w:r w:rsidRPr="0005324A">
              <w:rPr>
                <w:rFonts w:ascii="Tahoma" w:eastAsia="Tahoma" w:hAnsi="Tahoma" w:cs="Tahoma"/>
                <w:b/>
                <w:bCs/>
                <w:i/>
                <w:iCs/>
                <w:noProof/>
                <w:webHidden/>
                <w:color w:val="2A2A2A"/>
                <w:kern w:val="0"/>
                <w:szCs w:val="28"/>
                <w:lang w:eastAsia="ja-JP"/>
                <w14:ligatures w14:val="none"/>
              </w:rPr>
              <w:fldChar w:fldCharType="begin"/>
            </w:r>
            <w:r w:rsidRPr="0005324A">
              <w:rPr>
                <w:rFonts w:ascii="Tahoma" w:eastAsia="Tahoma" w:hAnsi="Tahoma" w:cs="Tahoma"/>
                <w:b/>
                <w:bCs/>
                <w:i/>
                <w:iCs/>
                <w:noProof/>
                <w:webHidden/>
                <w:color w:val="2A2A2A"/>
                <w:kern w:val="0"/>
                <w:szCs w:val="28"/>
                <w:lang w:eastAsia="ja-JP"/>
                <w14:ligatures w14:val="none"/>
              </w:rPr>
              <w:instrText xml:space="preserve"> PAGEREF _Toc226540376 \h </w:instrText>
            </w:r>
            <w:r w:rsidRPr="0005324A">
              <w:rPr>
                <w:rFonts w:ascii="Tahoma" w:eastAsia="Tahoma" w:hAnsi="Tahoma" w:cs="Tahoma"/>
                <w:b/>
                <w:bCs/>
                <w:i/>
                <w:iCs/>
                <w:noProof/>
                <w:webHidden/>
                <w:color w:val="2A2A2A"/>
                <w:kern w:val="0"/>
                <w:szCs w:val="28"/>
                <w:lang w:eastAsia="ja-JP"/>
                <w14:ligatures w14:val="none"/>
              </w:rPr>
            </w:r>
            <w:r w:rsidRPr="0005324A">
              <w:rPr>
                <w:rFonts w:ascii="Tahoma" w:eastAsia="Tahoma" w:hAnsi="Tahoma" w:cs="Tahoma"/>
                <w:b/>
                <w:bCs/>
                <w:i/>
                <w:iCs/>
                <w:noProof/>
                <w:webHidden/>
                <w:color w:val="2A2A2A"/>
                <w:kern w:val="0"/>
                <w:szCs w:val="28"/>
                <w:lang w:eastAsia="ja-JP"/>
                <w14:ligatures w14:val="none"/>
              </w:rPr>
              <w:fldChar w:fldCharType="separate"/>
            </w:r>
            <w:r w:rsidRPr="0005324A">
              <w:rPr>
                <w:rFonts w:ascii="Tahoma" w:eastAsia="Tahoma" w:hAnsi="Tahoma" w:cs="Tahoma"/>
                <w:b/>
                <w:bCs/>
                <w:i/>
                <w:iCs/>
                <w:noProof/>
                <w:webHidden/>
                <w:color w:val="2A2A2A"/>
                <w:kern w:val="0"/>
                <w:szCs w:val="28"/>
                <w:lang w:eastAsia="ja-JP"/>
                <w14:ligatures w14:val="none"/>
              </w:rPr>
              <w:t>3</w:t>
            </w:r>
            <w:r w:rsidRPr="0005324A">
              <w:rPr>
                <w:rFonts w:ascii="Tahoma" w:eastAsia="Tahoma" w:hAnsi="Tahoma" w:cs="Tahoma"/>
                <w:b/>
                <w:bCs/>
                <w:i/>
                <w:iCs/>
                <w:noProof/>
                <w:webHidden/>
                <w:color w:val="2A2A2A"/>
                <w:kern w:val="0"/>
                <w:szCs w:val="28"/>
                <w:lang w:eastAsia="ja-JP"/>
                <w14:ligatures w14:val="none"/>
              </w:rPr>
              <w:fldChar w:fldCharType="end"/>
            </w:r>
          </w:hyperlink>
        </w:p>
        <w:p w14:paraId="6F68AF42"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77" w:history="1">
            <w:r w:rsidRPr="0005324A">
              <w:rPr>
                <w:rFonts w:ascii="Tahoma" w:eastAsia="Tahoma" w:hAnsi="Tahoma" w:cs="Calibri"/>
                <w:b/>
                <w:bCs/>
                <w:noProof/>
                <w:color w:val="847B97"/>
                <w:kern w:val="0"/>
                <w:szCs w:val="26"/>
                <w:u w:val="single"/>
                <w:lang w:val="fr-FR" w:eastAsia="ja-JP"/>
                <w14:ligatures w14:val="none"/>
              </w:rPr>
              <w:t>Introduction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_Toc226540377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4</w:t>
            </w:r>
            <w:r w:rsidRPr="0005324A">
              <w:rPr>
                <w:rFonts w:ascii="Tahoma" w:eastAsia="Tahoma" w:hAnsi="Tahoma" w:cs="Tahoma"/>
                <w:b/>
                <w:bCs/>
                <w:noProof/>
                <w:webHidden/>
                <w:color w:val="2A2A2A"/>
                <w:kern w:val="0"/>
                <w:szCs w:val="26"/>
                <w:lang w:eastAsia="ja-JP"/>
                <w14:ligatures w14:val="none"/>
              </w:rPr>
              <w:fldChar w:fldCharType="end"/>
            </w:r>
          </w:hyperlink>
        </w:p>
        <w:p w14:paraId="1E186B31"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78" w:history="1">
            <w:r w:rsidRPr="0005324A">
              <w:rPr>
                <w:rFonts w:ascii="Tahoma" w:eastAsia="Tahoma" w:hAnsi="Tahoma" w:cs="Tahoma"/>
                <w:noProof/>
                <w:color w:val="847B97"/>
                <w:kern w:val="0"/>
                <w:sz w:val="20"/>
                <w:u w:val="single"/>
                <w:lang w:eastAsia="ja-JP"/>
                <w14:ligatures w14:val="none"/>
              </w:rPr>
              <w:t>L'auteur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_Toc226540378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4</w:t>
            </w:r>
            <w:r w:rsidRPr="0005324A">
              <w:rPr>
                <w:rFonts w:ascii="Tahoma" w:eastAsia="Tahoma" w:hAnsi="Tahoma" w:cs="Tahoma"/>
                <w:noProof/>
                <w:webHidden/>
                <w:color w:val="2A2A2A"/>
                <w:kern w:val="0"/>
                <w:sz w:val="20"/>
                <w:lang w:eastAsia="ja-JP"/>
                <w14:ligatures w14:val="none"/>
              </w:rPr>
              <w:fldChar w:fldCharType="end"/>
            </w:r>
          </w:hyperlink>
        </w:p>
        <w:p w14:paraId="29D50627"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79" w:history="1">
            <w:r w:rsidRPr="0005324A">
              <w:rPr>
                <w:rFonts w:ascii="Tahoma" w:eastAsia="Tahoma" w:hAnsi="Tahoma" w:cs="Tahoma"/>
                <w:noProof/>
                <w:color w:val="847B97"/>
                <w:kern w:val="0"/>
                <w:sz w:val="20"/>
                <w:u w:val="single"/>
                <w:lang w:eastAsia="ja-JP"/>
                <w14:ligatures w14:val="none"/>
              </w:rPr>
              <w:t>Les auditeurs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_Toc226540379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7</w:t>
            </w:r>
            <w:r w:rsidRPr="0005324A">
              <w:rPr>
                <w:rFonts w:ascii="Tahoma" w:eastAsia="Tahoma" w:hAnsi="Tahoma" w:cs="Tahoma"/>
                <w:noProof/>
                <w:webHidden/>
                <w:color w:val="2A2A2A"/>
                <w:kern w:val="0"/>
                <w:sz w:val="20"/>
                <w:lang w:eastAsia="ja-JP"/>
                <w14:ligatures w14:val="none"/>
              </w:rPr>
              <w:fldChar w:fldCharType="end"/>
            </w:r>
          </w:hyperlink>
        </w:p>
        <w:p w14:paraId="6C59C75A"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80" w:history="1">
            <w:r w:rsidRPr="0005324A">
              <w:rPr>
                <w:rFonts w:ascii="Tahoma" w:eastAsia="Tahoma" w:hAnsi="Tahoma" w:cs="Tahoma"/>
                <w:noProof/>
                <w:color w:val="847B97"/>
                <w:kern w:val="0"/>
                <w:sz w:val="20"/>
                <w:u w:val="single"/>
                <w:lang w:eastAsia="ja-JP"/>
                <w14:ligatures w14:val="none"/>
              </w:rPr>
              <w:t>Date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_Toc226540380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9</w:t>
            </w:r>
            <w:r w:rsidRPr="0005324A">
              <w:rPr>
                <w:rFonts w:ascii="Tahoma" w:eastAsia="Tahoma" w:hAnsi="Tahoma" w:cs="Tahoma"/>
                <w:noProof/>
                <w:webHidden/>
                <w:color w:val="2A2A2A"/>
                <w:kern w:val="0"/>
                <w:sz w:val="20"/>
                <w:lang w:eastAsia="ja-JP"/>
                <w14:ligatures w14:val="none"/>
              </w:rPr>
              <w:fldChar w:fldCharType="end"/>
            </w:r>
          </w:hyperlink>
        </w:p>
        <w:p w14:paraId="4B41C8F2"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81" w:history="1">
            <w:r w:rsidRPr="0005324A">
              <w:rPr>
                <w:rFonts w:ascii="Tahoma" w:eastAsia="Tahoma" w:hAnsi="Tahoma" w:cs="Tahoma"/>
                <w:noProof/>
                <w:color w:val="847B97"/>
                <w:kern w:val="0"/>
                <w:sz w:val="20"/>
                <w:u w:val="single"/>
                <w:lang w:eastAsia="ja-JP"/>
                <w14:ligatures w14:val="none"/>
              </w:rPr>
              <w:t>But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_Toc226540381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9</w:t>
            </w:r>
            <w:r w:rsidRPr="0005324A">
              <w:rPr>
                <w:rFonts w:ascii="Tahoma" w:eastAsia="Tahoma" w:hAnsi="Tahoma" w:cs="Tahoma"/>
                <w:noProof/>
                <w:webHidden/>
                <w:color w:val="2A2A2A"/>
                <w:kern w:val="0"/>
                <w:sz w:val="20"/>
                <w:lang w:eastAsia="ja-JP"/>
                <w14:ligatures w14:val="none"/>
              </w:rPr>
              <w:fldChar w:fldCharType="end"/>
            </w:r>
          </w:hyperlink>
        </w:p>
        <w:p w14:paraId="35C6D27E"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82" w:history="1">
            <w:r w:rsidRPr="0005324A">
              <w:rPr>
                <w:rFonts w:ascii="Tahoma" w:eastAsia="Tahoma" w:hAnsi="Tahoma" w:cs="Tahoma"/>
                <w:noProof/>
                <w:color w:val="847B97"/>
                <w:kern w:val="0"/>
                <w:sz w:val="20"/>
                <w:u w:val="single"/>
                <w:lang w:eastAsia="ja-JP"/>
                <w14:ligatures w14:val="none"/>
              </w:rPr>
              <w:t>Structure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_Toc226540382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10</w:t>
            </w:r>
            <w:r w:rsidRPr="0005324A">
              <w:rPr>
                <w:rFonts w:ascii="Tahoma" w:eastAsia="Tahoma" w:hAnsi="Tahoma" w:cs="Tahoma"/>
                <w:noProof/>
                <w:webHidden/>
                <w:color w:val="2A2A2A"/>
                <w:kern w:val="0"/>
                <w:sz w:val="20"/>
                <w:lang w:eastAsia="ja-JP"/>
                <w14:ligatures w14:val="none"/>
              </w:rPr>
              <w:fldChar w:fldCharType="end"/>
            </w:r>
          </w:hyperlink>
        </w:p>
        <w:p w14:paraId="2785F8CD"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83" w:history="1">
            <w:r w:rsidRPr="0005324A">
              <w:rPr>
                <w:rFonts w:ascii="Tahoma" w:eastAsia="Tahoma" w:hAnsi="Tahoma" w:cs="Tahoma"/>
                <w:noProof/>
                <w:color w:val="847B97"/>
                <w:kern w:val="0"/>
                <w:sz w:val="20"/>
                <w:u w:val="single"/>
                <w:lang w:eastAsia="ja-JP"/>
                <w14:ligatures w14:val="none"/>
              </w:rPr>
              <w:t>Les passages d'avertissement :</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_Toc226540383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11</w:t>
            </w:r>
            <w:r w:rsidRPr="0005324A">
              <w:rPr>
                <w:rFonts w:ascii="Tahoma" w:eastAsia="Tahoma" w:hAnsi="Tahoma" w:cs="Tahoma"/>
                <w:noProof/>
                <w:webHidden/>
                <w:color w:val="2A2A2A"/>
                <w:kern w:val="0"/>
                <w:sz w:val="20"/>
                <w:lang w:eastAsia="ja-JP"/>
                <w14:ligatures w14:val="none"/>
              </w:rPr>
              <w:fldChar w:fldCharType="end"/>
            </w:r>
          </w:hyperlink>
        </w:p>
        <w:p w14:paraId="59A69FD2"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84" w:history="1">
            <w:r w:rsidRPr="0005324A">
              <w:rPr>
                <w:rFonts w:ascii="Tahoma" w:eastAsia="Tahoma" w:hAnsi="Tahoma" w:cs="Tahoma"/>
                <w:b/>
                <w:bCs/>
                <w:noProof/>
                <w:color w:val="847B97"/>
                <w:kern w:val="0"/>
                <w:szCs w:val="26"/>
                <w:u w:val="single"/>
                <w:lang w:val="fr-FR" w:eastAsia="ja-JP"/>
                <w14:ligatures w14:val="none"/>
              </w:rPr>
              <w:t>Chapitre 1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_Toc226540384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12</w:t>
            </w:r>
            <w:r w:rsidRPr="0005324A">
              <w:rPr>
                <w:rFonts w:ascii="Tahoma" w:eastAsia="Tahoma" w:hAnsi="Tahoma" w:cs="Tahoma"/>
                <w:b/>
                <w:bCs/>
                <w:noProof/>
                <w:webHidden/>
                <w:color w:val="2A2A2A"/>
                <w:kern w:val="0"/>
                <w:szCs w:val="26"/>
                <w:lang w:eastAsia="ja-JP"/>
                <w14:ligatures w14:val="none"/>
              </w:rPr>
              <w:fldChar w:fldCharType="end"/>
            </w:r>
          </w:hyperlink>
        </w:p>
        <w:p w14:paraId="684E22D6"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85" w:history="1">
            <w:r w:rsidRPr="0005324A">
              <w:rPr>
                <w:rFonts w:ascii="Tahoma" w:eastAsia="Tahoma" w:hAnsi="Tahoma" w:cs="Tahoma"/>
                <w:noProof/>
                <w:color w:val="847B97"/>
                <w:kern w:val="0"/>
                <w:sz w:val="20"/>
                <w:u w:val="single"/>
                <w:lang w:eastAsia="ja-JP"/>
                <w14:ligatures w14:val="none"/>
              </w:rPr>
              <w:t>Jésus est plus important que les prophètes (1.1–4).</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_Toc226540385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12</w:t>
            </w:r>
            <w:r w:rsidRPr="0005324A">
              <w:rPr>
                <w:rFonts w:ascii="Tahoma" w:eastAsia="Tahoma" w:hAnsi="Tahoma" w:cs="Tahoma"/>
                <w:noProof/>
                <w:webHidden/>
                <w:color w:val="2A2A2A"/>
                <w:kern w:val="0"/>
                <w:sz w:val="20"/>
                <w:lang w:eastAsia="ja-JP"/>
                <w14:ligatures w14:val="none"/>
              </w:rPr>
              <w:fldChar w:fldCharType="end"/>
            </w:r>
          </w:hyperlink>
        </w:p>
        <w:p w14:paraId="189B6CFF" w14:textId="77777777" w:rsidR="0005324A" w:rsidRPr="0005324A" w:rsidRDefault="0005324A" w:rsidP="0005324A">
          <w:pPr>
            <w:tabs>
              <w:tab w:val="right" w:leader="dot" w:pos="10070"/>
            </w:tabs>
            <w:spacing w:line="312" w:lineRule="auto"/>
            <w:ind w:left="440"/>
            <w:rPr>
              <w:rFonts w:ascii="Tahoma" w:eastAsia="SimHei" w:hAnsi="Tahoma" w:cs="Arial"/>
              <w:noProof/>
            </w:rPr>
          </w:pPr>
          <w:hyperlink w:anchor="_Toc226540386" w:history="1">
            <w:r w:rsidRPr="0005324A">
              <w:rPr>
                <w:rFonts w:ascii="Tahoma" w:eastAsia="Tahoma" w:hAnsi="Tahoma" w:cs="Tahoma"/>
                <w:noProof/>
                <w:color w:val="847B97"/>
                <w:kern w:val="0"/>
                <w:sz w:val="20"/>
                <w:u w:val="single"/>
                <w:lang w:eastAsia="ja-JP"/>
                <w14:ligatures w14:val="none"/>
              </w:rPr>
              <w:t>Jésus est plus important que les anges (1.5–14).</w:t>
            </w:r>
            <w:r w:rsidRPr="0005324A">
              <w:rPr>
                <w:rFonts w:ascii="Tahoma" w:eastAsia="Tahoma" w:hAnsi="Tahoma" w:cs="Tahoma"/>
                <w:noProof/>
                <w:webHidden/>
                <w:color w:val="2A2A2A"/>
                <w:kern w:val="0"/>
                <w:sz w:val="20"/>
                <w:lang w:eastAsia="ja-JP"/>
                <w14:ligatures w14:val="none"/>
              </w:rPr>
              <w:tab/>
            </w:r>
            <w:r w:rsidRPr="0005324A">
              <w:rPr>
                <w:rFonts w:ascii="Tahoma" w:eastAsia="Tahoma" w:hAnsi="Tahoma" w:cs="Tahoma"/>
                <w:noProof/>
                <w:webHidden/>
                <w:color w:val="2A2A2A"/>
                <w:kern w:val="0"/>
                <w:sz w:val="20"/>
                <w:lang w:eastAsia="ja-JP"/>
                <w14:ligatures w14:val="none"/>
              </w:rPr>
              <w:fldChar w:fldCharType="begin"/>
            </w:r>
            <w:r w:rsidRPr="0005324A">
              <w:rPr>
                <w:rFonts w:ascii="Tahoma" w:eastAsia="Tahoma" w:hAnsi="Tahoma" w:cs="Tahoma"/>
                <w:noProof/>
                <w:webHidden/>
                <w:color w:val="2A2A2A"/>
                <w:kern w:val="0"/>
                <w:sz w:val="20"/>
                <w:lang w:eastAsia="ja-JP"/>
                <w14:ligatures w14:val="none"/>
              </w:rPr>
              <w:instrText xml:space="preserve"> PAGEREF _Toc226540386 \h </w:instrText>
            </w:r>
            <w:r w:rsidRPr="0005324A">
              <w:rPr>
                <w:rFonts w:ascii="Tahoma" w:eastAsia="Tahoma" w:hAnsi="Tahoma" w:cs="Tahoma"/>
                <w:noProof/>
                <w:webHidden/>
                <w:color w:val="2A2A2A"/>
                <w:kern w:val="0"/>
                <w:sz w:val="20"/>
                <w:lang w:eastAsia="ja-JP"/>
                <w14:ligatures w14:val="none"/>
              </w:rPr>
            </w:r>
            <w:r w:rsidRPr="0005324A">
              <w:rPr>
                <w:rFonts w:ascii="Tahoma" w:eastAsia="Tahoma" w:hAnsi="Tahoma" w:cs="Tahoma"/>
                <w:noProof/>
                <w:webHidden/>
                <w:color w:val="2A2A2A"/>
                <w:kern w:val="0"/>
                <w:sz w:val="20"/>
                <w:lang w:eastAsia="ja-JP"/>
                <w14:ligatures w14:val="none"/>
              </w:rPr>
              <w:fldChar w:fldCharType="separate"/>
            </w:r>
            <w:r w:rsidRPr="0005324A">
              <w:rPr>
                <w:rFonts w:ascii="Tahoma" w:eastAsia="Tahoma" w:hAnsi="Tahoma" w:cs="Tahoma"/>
                <w:noProof/>
                <w:webHidden/>
                <w:color w:val="2A2A2A"/>
                <w:kern w:val="0"/>
                <w:sz w:val="20"/>
                <w:lang w:eastAsia="ja-JP"/>
                <w14:ligatures w14:val="none"/>
              </w:rPr>
              <w:t>15</w:t>
            </w:r>
            <w:r w:rsidRPr="0005324A">
              <w:rPr>
                <w:rFonts w:ascii="Tahoma" w:eastAsia="Tahoma" w:hAnsi="Tahoma" w:cs="Tahoma"/>
                <w:noProof/>
                <w:webHidden/>
                <w:color w:val="2A2A2A"/>
                <w:kern w:val="0"/>
                <w:sz w:val="20"/>
                <w:lang w:eastAsia="ja-JP"/>
                <w14:ligatures w14:val="none"/>
              </w:rPr>
              <w:fldChar w:fldCharType="end"/>
            </w:r>
          </w:hyperlink>
        </w:p>
        <w:p w14:paraId="1DB132C7"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87" w:history="1">
            <w:r w:rsidRPr="0005324A">
              <w:rPr>
                <w:rFonts w:ascii="Tahoma" w:eastAsia="Tahoma" w:hAnsi="Tahoma" w:cs="Tahoma"/>
                <w:b/>
                <w:bCs/>
                <w:noProof/>
                <w:color w:val="847B97"/>
                <w:kern w:val="0"/>
                <w:szCs w:val="26"/>
                <w:u w:val="single"/>
                <w:lang w:val="fr-FR" w:eastAsia="ja-JP"/>
                <w14:ligatures w14:val="none"/>
              </w:rPr>
              <w:t>Chapitre 2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_Toc226540387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18</w:t>
            </w:r>
            <w:r w:rsidRPr="0005324A">
              <w:rPr>
                <w:rFonts w:ascii="Tahoma" w:eastAsia="Tahoma" w:hAnsi="Tahoma" w:cs="Tahoma"/>
                <w:b/>
                <w:bCs/>
                <w:noProof/>
                <w:webHidden/>
                <w:color w:val="2A2A2A"/>
                <w:kern w:val="0"/>
                <w:szCs w:val="26"/>
                <w:lang w:eastAsia="ja-JP"/>
                <w14:ligatures w14:val="none"/>
              </w:rPr>
              <w:fldChar w:fldCharType="end"/>
            </w:r>
          </w:hyperlink>
        </w:p>
        <w:p w14:paraId="31F5C25A"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88" w:history="1">
            <w:r w:rsidRPr="0005324A">
              <w:rPr>
                <w:rFonts w:ascii="Tahoma" w:eastAsia="Tahoma" w:hAnsi="Tahoma" w:cs="Tahoma"/>
                <w:b/>
                <w:bCs/>
                <w:noProof/>
                <w:color w:val="847B97"/>
                <w:kern w:val="0"/>
                <w:szCs w:val="26"/>
                <w:u w:val="single"/>
                <w:lang w:val="fr-FR" w:eastAsia="ja-JP"/>
                <w14:ligatures w14:val="none"/>
              </w:rPr>
              <w:t>Chapitre 3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_Toc226540388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28</w:t>
            </w:r>
            <w:r w:rsidRPr="0005324A">
              <w:rPr>
                <w:rFonts w:ascii="Tahoma" w:eastAsia="Tahoma" w:hAnsi="Tahoma" w:cs="Tahoma"/>
                <w:b/>
                <w:bCs/>
                <w:noProof/>
                <w:webHidden/>
                <w:color w:val="2A2A2A"/>
                <w:kern w:val="0"/>
                <w:szCs w:val="26"/>
                <w:lang w:eastAsia="ja-JP"/>
                <w14:ligatures w14:val="none"/>
              </w:rPr>
              <w:fldChar w:fldCharType="end"/>
            </w:r>
          </w:hyperlink>
        </w:p>
        <w:p w14:paraId="3C2DCA2A"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89" w:history="1">
            <w:r w:rsidRPr="0005324A">
              <w:rPr>
                <w:rFonts w:ascii="Tahoma" w:eastAsia="Tahoma" w:hAnsi="Tahoma" w:cs="Tahoma"/>
                <w:b/>
                <w:bCs/>
                <w:noProof/>
                <w:color w:val="847B97"/>
                <w:kern w:val="0"/>
                <w:szCs w:val="26"/>
                <w:u w:val="single"/>
                <w:lang w:val="fr-FR" w:eastAsia="ja-JP"/>
                <w14:ligatures w14:val="none"/>
              </w:rPr>
              <w:t>Chapitre 4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_Toc226540389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34</w:t>
            </w:r>
            <w:r w:rsidRPr="0005324A">
              <w:rPr>
                <w:rFonts w:ascii="Tahoma" w:eastAsia="Tahoma" w:hAnsi="Tahoma" w:cs="Tahoma"/>
                <w:b/>
                <w:bCs/>
                <w:noProof/>
                <w:webHidden/>
                <w:color w:val="2A2A2A"/>
                <w:kern w:val="0"/>
                <w:szCs w:val="26"/>
                <w:lang w:eastAsia="ja-JP"/>
                <w14:ligatures w14:val="none"/>
              </w:rPr>
              <w:fldChar w:fldCharType="end"/>
            </w:r>
          </w:hyperlink>
        </w:p>
        <w:p w14:paraId="43B1946F"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90" w:history="1">
            <w:r w:rsidRPr="0005324A">
              <w:rPr>
                <w:rFonts w:ascii="Tahoma" w:eastAsia="Tahoma" w:hAnsi="Tahoma" w:cs="Tahoma"/>
                <w:b/>
                <w:bCs/>
                <w:noProof/>
                <w:color w:val="847B97"/>
                <w:kern w:val="0"/>
                <w:szCs w:val="26"/>
                <w:u w:val="single"/>
                <w:lang w:val="fr-FR" w:eastAsia="ja-JP"/>
                <w14:ligatures w14:val="none"/>
              </w:rPr>
              <w:t>Chapitre 5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_Toc226540390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35</w:t>
            </w:r>
            <w:r w:rsidRPr="0005324A">
              <w:rPr>
                <w:rFonts w:ascii="Tahoma" w:eastAsia="Tahoma" w:hAnsi="Tahoma" w:cs="Tahoma"/>
                <w:b/>
                <w:bCs/>
                <w:noProof/>
                <w:webHidden/>
                <w:color w:val="2A2A2A"/>
                <w:kern w:val="0"/>
                <w:szCs w:val="26"/>
                <w:lang w:eastAsia="ja-JP"/>
                <w14:ligatures w14:val="none"/>
              </w:rPr>
              <w:fldChar w:fldCharType="end"/>
            </w:r>
          </w:hyperlink>
        </w:p>
        <w:p w14:paraId="0E9844BD"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91" w:history="1">
            <w:r w:rsidRPr="0005324A">
              <w:rPr>
                <w:rFonts w:ascii="Tahoma" w:eastAsia="Tahoma" w:hAnsi="Tahoma" w:cs="Tahoma"/>
                <w:b/>
                <w:bCs/>
                <w:noProof/>
                <w:color w:val="847B97"/>
                <w:kern w:val="0"/>
                <w:szCs w:val="26"/>
                <w:u w:val="single"/>
                <w:lang w:val="fr-FR" w:eastAsia="ja-JP"/>
                <w14:ligatures w14:val="none"/>
              </w:rPr>
              <w:t>Chapitre 6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_Toc226540391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35</w:t>
            </w:r>
            <w:r w:rsidRPr="0005324A">
              <w:rPr>
                <w:rFonts w:ascii="Tahoma" w:eastAsia="Tahoma" w:hAnsi="Tahoma" w:cs="Tahoma"/>
                <w:b/>
                <w:bCs/>
                <w:noProof/>
                <w:webHidden/>
                <w:color w:val="2A2A2A"/>
                <w:kern w:val="0"/>
                <w:szCs w:val="26"/>
                <w:lang w:eastAsia="ja-JP"/>
                <w14:ligatures w14:val="none"/>
              </w:rPr>
              <w:fldChar w:fldCharType="end"/>
            </w:r>
          </w:hyperlink>
        </w:p>
        <w:p w14:paraId="0291B50B"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92" w:history="1">
            <w:r w:rsidRPr="0005324A">
              <w:rPr>
                <w:rFonts w:ascii="Tahoma" w:eastAsia="Tahoma" w:hAnsi="Tahoma" w:cs="Tahoma"/>
                <w:b/>
                <w:bCs/>
                <w:noProof/>
                <w:color w:val="847B97"/>
                <w:kern w:val="0"/>
                <w:szCs w:val="26"/>
                <w:u w:val="single"/>
                <w:lang w:val="fr-FR" w:eastAsia="ja-JP"/>
                <w14:ligatures w14:val="none"/>
              </w:rPr>
              <w:t>Chapitre 7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_Toc226540392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35</w:t>
            </w:r>
            <w:r w:rsidRPr="0005324A">
              <w:rPr>
                <w:rFonts w:ascii="Tahoma" w:eastAsia="Tahoma" w:hAnsi="Tahoma" w:cs="Tahoma"/>
                <w:b/>
                <w:bCs/>
                <w:noProof/>
                <w:webHidden/>
                <w:color w:val="2A2A2A"/>
                <w:kern w:val="0"/>
                <w:szCs w:val="26"/>
                <w:lang w:eastAsia="ja-JP"/>
                <w14:ligatures w14:val="none"/>
              </w:rPr>
              <w:fldChar w:fldCharType="end"/>
            </w:r>
          </w:hyperlink>
        </w:p>
        <w:p w14:paraId="2ADB2B2F"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93" w:history="1">
            <w:r w:rsidRPr="0005324A">
              <w:rPr>
                <w:rFonts w:ascii="Tahoma" w:eastAsia="Tahoma" w:hAnsi="Tahoma" w:cs="Tahoma"/>
                <w:b/>
                <w:bCs/>
                <w:noProof/>
                <w:color w:val="847B97"/>
                <w:kern w:val="0"/>
                <w:szCs w:val="26"/>
                <w:u w:val="single"/>
                <w:lang w:val="fr-FR" w:eastAsia="ja-JP"/>
                <w14:ligatures w14:val="none"/>
              </w:rPr>
              <w:t>Chapitre 8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_Toc226540393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35</w:t>
            </w:r>
            <w:r w:rsidRPr="0005324A">
              <w:rPr>
                <w:rFonts w:ascii="Tahoma" w:eastAsia="Tahoma" w:hAnsi="Tahoma" w:cs="Tahoma"/>
                <w:b/>
                <w:bCs/>
                <w:noProof/>
                <w:webHidden/>
                <w:color w:val="2A2A2A"/>
                <w:kern w:val="0"/>
                <w:szCs w:val="26"/>
                <w:lang w:eastAsia="ja-JP"/>
                <w14:ligatures w14:val="none"/>
              </w:rPr>
              <w:fldChar w:fldCharType="end"/>
            </w:r>
          </w:hyperlink>
        </w:p>
        <w:p w14:paraId="351468CB"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94" w:history="1">
            <w:r w:rsidRPr="0005324A">
              <w:rPr>
                <w:rFonts w:ascii="Tahoma" w:eastAsia="Tahoma" w:hAnsi="Tahoma" w:cs="Tahoma"/>
                <w:b/>
                <w:bCs/>
                <w:noProof/>
                <w:color w:val="847B97"/>
                <w:kern w:val="0"/>
                <w:szCs w:val="26"/>
                <w:u w:val="single"/>
                <w:lang w:val="fr-FR" w:eastAsia="ja-JP"/>
                <w14:ligatures w14:val="none"/>
              </w:rPr>
              <w:t>Chapitre 9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_Toc226540394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35</w:t>
            </w:r>
            <w:r w:rsidRPr="0005324A">
              <w:rPr>
                <w:rFonts w:ascii="Tahoma" w:eastAsia="Tahoma" w:hAnsi="Tahoma" w:cs="Tahoma"/>
                <w:b/>
                <w:bCs/>
                <w:noProof/>
                <w:webHidden/>
                <w:color w:val="2A2A2A"/>
                <w:kern w:val="0"/>
                <w:szCs w:val="26"/>
                <w:lang w:eastAsia="ja-JP"/>
                <w14:ligatures w14:val="none"/>
              </w:rPr>
              <w:fldChar w:fldCharType="end"/>
            </w:r>
          </w:hyperlink>
        </w:p>
        <w:p w14:paraId="6B04FF7F" w14:textId="77777777" w:rsidR="0005324A" w:rsidRPr="0005324A" w:rsidRDefault="0005324A" w:rsidP="0005324A">
          <w:pPr>
            <w:tabs>
              <w:tab w:val="right" w:leader="dot" w:pos="10070"/>
            </w:tabs>
            <w:spacing w:before="120" w:line="312" w:lineRule="auto"/>
            <w:ind w:left="220"/>
            <w:rPr>
              <w:rFonts w:ascii="Tahoma" w:eastAsia="SimHei" w:hAnsi="Tahoma" w:cs="Arial"/>
              <w:noProof/>
            </w:rPr>
          </w:pPr>
          <w:hyperlink w:anchor="_Toc226540395" w:history="1">
            <w:r w:rsidRPr="0005324A">
              <w:rPr>
                <w:rFonts w:ascii="Tahoma" w:eastAsia="Tahoma" w:hAnsi="Tahoma" w:cs="Tahoma"/>
                <w:b/>
                <w:bCs/>
                <w:noProof/>
                <w:color w:val="847B97"/>
                <w:kern w:val="0"/>
                <w:szCs w:val="26"/>
                <w:u w:val="single"/>
                <w:lang w:val="fr-FR" w:eastAsia="ja-JP"/>
                <w14:ligatures w14:val="none"/>
              </w:rPr>
              <w:t>Chapitre 10 :</w:t>
            </w:r>
            <w:r w:rsidRPr="0005324A">
              <w:rPr>
                <w:rFonts w:ascii="Tahoma" w:eastAsia="Tahoma" w:hAnsi="Tahoma" w:cs="Tahoma"/>
                <w:b/>
                <w:bCs/>
                <w:noProof/>
                <w:webHidden/>
                <w:color w:val="2A2A2A"/>
                <w:kern w:val="0"/>
                <w:szCs w:val="26"/>
                <w:lang w:eastAsia="ja-JP"/>
                <w14:ligatures w14:val="none"/>
              </w:rPr>
              <w:tab/>
            </w:r>
            <w:r w:rsidRPr="0005324A">
              <w:rPr>
                <w:rFonts w:ascii="Tahoma" w:eastAsia="Tahoma" w:hAnsi="Tahoma" w:cs="Tahoma"/>
                <w:b/>
                <w:bCs/>
                <w:noProof/>
                <w:webHidden/>
                <w:color w:val="2A2A2A"/>
                <w:kern w:val="0"/>
                <w:szCs w:val="26"/>
                <w:lang w:eastAsia="ja-JP"/>
                <w14:ligatures w14:val="none"/>
              </w:rPr>
              <w:fldChar w:fldCharType="begin"/>
            </w:r>
            <w:r w:rsidRPr="0005324A">
              <w:rPr>
                <w:rFonts w:ascii="Tahoma" w:eastAsia="Tahoma" w:hAnsi="Tahoma" w:cs="Tahoma"/>
                <w:b/>
                <w:bCs/>
                <w:noProof/>
                <w:webHidden/>
                <w:color w:val="2A2A2A"/>
                <w:kern w:val="0"/>
                <w:szCs w:val="26"/>
                <w:lang w:eastAsia="ja-JP"/>
                <w14:ligatures w14:val="none"/>
              </w:rPr>
              <w:instrText xml:space="preserve"> PAGEREF _Toc226540395 \h </w:instrText>
            </w:r>
            <w:r w:rsidRPr="0005324A">
              <w:rPr>
                <w:rFonts w:ascii="Tahoma" w:eastAsia="Tahoma" w:hAnsi="Tahoma" w:cs="Tahoma"/>
                <w:b/>
                <w:bCs/>
                <w:noProof/>
                <w:webHidden/>
                <w:color w:val="2A2A2A"/>
                <w:kern w:val="0"/>
                <w:szCs w:val="26"/>
                <w:lang w:eastAsia="ja-JP"/>
                <w14:ligatures w14:val="none"/>
              </w:rPr>
            </w:r>
            <w:r w:rsidRPr="0005324A">
              <w:rPr>
                <w:rFonts w:ascii="Tahoma" w:eastAsia="Tahoma" w:hAnsi="Tahoma" w:cs="Tahoma"/>
                <w:b/>
                <w:bCs/>
                <w:noProof/>
                <w:webHidden/>
                <w:color w:val="2A2A2A"/>
                <w:kern w:val="0"/>
                <w:szCs w:val="26"/>
                <w:lang w:eastAsia="ja-JP"/>
                <w14:ligatures w14:val="none"/>
              </w:rPr>
              <w:fldChar w:fldCharType="separate"/>
            </w:r>
            <w:r w:rsidRPr="0005324A">
              <w:rPr>
                <w:rFonts w:ascii="Tahoma" w:eastAsia="Tahoma" w:hAnsi="Tahoma" w:cs="Tahoma"/>
                <w:b/>
                <w:bCs/>
                <w:noProof/>
                <w:webHidden/>
                <w:color w:val="2A2A2A"/>
                <w:kern w:val="0"/>
                <w:szCs w:val="26"/>
                <w:lang w:eastAsia="ja-JP"/>
                <w14:ligatures w14:val="none"/>
              </w:rPr>
              <w:t>35</w:t>
            </w:r>
            <w:r w:rsidRPr="0005324A">
              <w:rPr>
                <w:rFonts w:ascii="Tahoma" w:eastAsia="Tahoma" w:hAnsi="Tahoma" w:cs="Tahoma"/>
                <w:b/>
                <w:bCs/>
                <w:noProof/>
                <w:webHidden/>
                <w:color w:val="2A2A2A"/>
                <w:kern w:val="0"/>
                <w:szCs w:val="26"/>
                <w:lang w:eastAsia="ja-JP"/>
                <w14:ligatures w14:val="none"/>
              </w:rPr>
              <w:fldChar w:fldCharType="end"/>
            </w:r>
          </w:hyperlink>
        </w:p>
        <w:p w14:paraId="39CA9D7A"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b/>
              <w:bCs/>
              <w:color w:val="2A2A2A"/>
              <w:kern w:val="0"/>
              <w:szCs w:val="22"/>
              <w:lang w:val="fr-FR" w:eastAsia="ja-JP"/>
              <w14:ligatures w14:val="none"/>
            </w:rPr>
            <w:fldChar w:fldCharType="end"/>
          </w:r>
        </w:p>
      </w:sdtContent>
    </w:sdt>
    <w:p w14:paraId="2D083234" w14:textId="77777777" w:rsidR="0005324A" w:rsidRPr="0005324A" w:rsidRDefault="0005324A" w:rsidP="0005324A">
      <w:pPr>
        <w:keepNext/>
        <w:keepLines/>
        <w:pBdr>
          <w:top w:val="single" w:sz="24" w:space="18" w:color="2A2A2A"/>
        </w:pBdr>
        <w:spacing w:after="320"/>
        <w:contextualSpacing/>
        <w:outlineLvl w:val="1"/>
        <w:rPr>
          <w:rFonts w:ascii="Calibri" w:eastAsia="SimHei" w:hAnsi="Calibri" w:cs="Calibri"/>
          <w:caps/>
          <w:color w:val="3B8DCD"/>
          <w:kern w:val="0"/>
          <w:sz w:val="38"/>
          <w:szCs w:val="26"/>
          <w:lang w:val="fr-FR" w:eastAsia="ja-JP"/>
          <w14:ligatures w14:val="none"/>
        </w:rPr>
      </w:pPr>
      <w:bookmarkStart w:id="7" w:name="_Toc226540377"/>
      <w:r w:rsidRPr="0005324A">
        <w:rPr>
          <w:rFonts w:ascii="Calibri" w:eastAsia="SimHei" w:hAnsi="Calibri" w:cs="Calibri"/>
          <w:caps/>
          <w:color w:val="3B8DCD"/>
          <w:kern w:val="0"/>
          <w:sz w:val="38"/>
          <w:szCs w:val="26"/>
          <w:lang w:val="fr-FR" w:eastAsia="ja-JP"/>
          <w14:ligatures w14:val="none"/>
        </w:rPr>
        <w:lastRenderedPageBreak/>
        <w:t>Introduction :</w:t>
      </w:r>
      <w:bookmarkEnd w:id="7"/>
      <w:r w:rsidRPr="0005324A">
        <w:rPr>
          <w:rFonts w:ascii="Calibri" w:eastAsia="SimHei" w:hAnsi="Calibri" w:cs="Calibri"/>
          <w:caps/>
          <w:color w:val="3B8DCD"/>
          <w:kern w:val="0"/>
          <w:sz w:val="38"/>
          <w:szCs w:val="26"/>
          <w:lang w:val="fr-FR" w:eastAsia="ja-JP"/>
          <w14:ligatures w14:val="none"/>
        </w:rPr>
        <w:t xml:space="preserve"> </w:t>
      </w:r>
    </w:p>
    <w:p w14:paraId="2E7AC969"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Christ est </w:t>
      </w:r>
      <w:r w:rsidRPr="0005324A">
        <w:rPr>
          <w:rFonts w:ascii="Calibri" w:eastAsia="Tahoma" w:hAnsi="Calibri" w:cs="Arial"/>
          <w:b/>
          <w:bCs/>
          <w:color w:val="2A2A2A"/>
          <w:kern w:val="0"/>
          <w:szCs w:val="22"/>
          <w:lang w:val="fr-FR" w:eastAsia="ja-JP"/>
          <w14:ligatures w14:val="none"/>
        </w:rPr>
        <w:t>meilleur/supérieur</w:t>
      </w:r>
      <w:r w:rsidRPr="0005324A">
        <w:rPr>
          <w:rFonts w:ascii="Calibri" w:eastAsia="Tahoma" w:hAnsi="Calibri" w:cs="Arial"/>
          <w:color w:val="2A2A2A"/>
          <w:kern w:val="0"/>
          <w:szCs w:val="22"/>
          <w:lang w:val="fr-FR" w:eastAsia="ja-JP"/>
          <w14:ligatures w14:val="none"/>
        </w:rPr>
        <w:t xml:space="preserve"> (12+ fois dans cette lettre). En utilisant ces termes, on voit que le Christ est supérieur à autre chose. L'auteur le compare, en tant que personne, à quelque chose. Supérieur à quoi ? On verra ce qu'il veut dire.</w:t>
      </w:r>
    </w:p>
    <w:p w14:paraId="378D96C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4.14 – « demeurons fermement attachés (NBS). » Restez attachés, accrochez-vous à quelque chose. Quoi ? Cela laisse entendre que ces croyants ont déjà quelque chose. Ils le possèdent déjà. Ce livre leur rappelle ce à quoi ils doivent déjà s'accrocher. Le danger pour eux était qu'ils risquaient de lâcher prise.</w:t>
      </w:r>
    </w:p>
    <w:p w14:paraId="4DDE8E7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6.1 – « tendons vers la maturité (S21) » ou « tournons-nous plutôt vers ce qui correspond au stade adulte (BDS). » L'idée ici est de progresser vers la maturité. C'est l'une des vérités fondamentales que l'on trouve dans ce livre. Restez fermes et progressez vers une plus grande maturité.</w:t>
      </w:r>
    </w:p>
    <w:p w14:paraId="6E0C1ED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7.19 – « La Loi, en effet, n’a rien amené à la perfection. » L'ancien ne sert plus à rien. La loi est morte. Elle n'a plus de vie. La loi ne pouvait rien mener à son accomplissement. Aussi merveilleuse soit-elle, la loi n'a pas de vie à nous offrir.</w:t>
      </w:r>
      <w:r w:rsidRPr="0005324A">
        <w:rPr>
          <w:rFonts w:ascii="Calibri" w:eastAsia="Tahoma" w:hAnsi="Calibri" w:cs="Arial"/>
          <w:color w:val="2A2A2A"/>
          <w:kern w:val="0"/>
          <w:szCs w:val="22"/>
          <w:vertAlign w:val="superscript"/>
          <w:lang w:val="fr-FR" w:eastAsia="ja-JP"/>
          <w14:ligatures w14:val="none"/>
        </w:rPr>
        <w:footnoteReference w:id="1"/>
      </w:r>
    </w:p>
    <w:p w14:paraId="6208972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7E9C1DC4"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8" w:name="_Toc226540378"/>
      <w:r w:rsidRPr="0005324A">
        <w:rPr>
          <w:rFonts w:ascii="Calibri" w:eastAsia="SimHei" w:hAnsi="Calibri" w:cs="Calibri"/>
          <w:b/>
          <w:color w:val="2A2A2A"/>
          <w:kern w:val="0"/>
          <w:sz w:val="28"/>
          <w:lang w:val="fr-FR" w:eastAsia="ja-JP"/>
          <w14:ligatures w14:val="none"/>
        </w:rPr>
        <w:t>L'auteur :</w:t>
      </w:r>
      <w:bookmarkEnd w:id="8"/>
    </w:p>
    <w:p w14:paraId="462EDD8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La réponse la plus simple est qu'on ne peut pas dire qui a écrit ce livre. </w:t>
      </w:r>
      <w:r w:rsidRPr="0005324A">
        <w:rPr>
          <w:rFonts w:ascii="Calibri" w:eastAsia="Tahoma" w:hAnsi="Calibri" w:cs="Arial"/>
          <w:color w:val="2A2A2A"/>
          <w:kern w:val="0"/>
          <w:szCs w:val="22"/>
          <w:u w:val="single"/>
          <w:lang w:val="fr-FR" w:eastAsia="ja-JP"/>
          <w14:ligatures w14:val="none"/>
        </w:rPr>
        <w:t>Personne ne le sait vraiment</w:t>
      </w:r>
      <w:r w:rsidRPr="0005324A">
        <w:rPr>
          <w:rFonts w:ascii="Calibri" w:eastAsia="Tahoma" w:hAnsi="Calibri" w:cs="Arial"/>
          <w:color w:val="2A2A2A"/>
          <w:kern w:val="0"/>
          <w:szCs w:val="22"/>
          <w:lang w:val="fr-FR" w:eastAsia="ja-JP"/>
          <w14:ligatures w14:val="none"/>
        </w:rPr>
        <w:t>. Mais il y a plusieurs auteurs proposés, selon différents critères.</w:t>
      </w:r>
    </w:p>
    <w:p w14:paraId="0EF5E235"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Que sait-on de l'auteur d'après le livre ?</w:t>
      </w:r>
    </w:p>
    <w:p w14:paraId="09F3D463"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Il connaît bien l'Ancien Testament. Il le cite entre 35 et 40 fois. Ses citations proviennent principalement de la Septante, qui est la version grecque de l'Ancien Testament. Mais il cite également l'Ancien Testament hébreu (Paul se réfère principalement à l'Ancien Testament hébreu lorsqu'il le cite.)</w:t>
      </w:r>
    </w:p>
    <w:p w14:paraId="6A27983A"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Il connaît Timothée, il a peut-être même travaillé avec lui (13.23).</w:t>
      </w:r>
    </w:p>
    <w:p w14:paraId="0C07E71A"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lastRenderedPageBreak/>
        <w:t xml:space="preserve">Il connaît bien son audience. Il constate qu'elle ne progresse pas au fil du temps (5.12 ; 6.4–8). Il sait comment ils ont commencé leur marche avec Christ, marquée par la foi et l'attention portée aux autres (6.10 ; 10.32). </w:t>
      </w:r>
    </w:p>
    <w:p w14:paraId="263997DB"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C'est un leader de l'Église primitive. Sa lettre est largement reconnue comme étant véritablement inspirée. Cela montre qu'il est respecté comme un auteur légitime et une figure d'autorité au cours des premières années.</w:t>
      </w:r>
    </w:p>
    <w:p w14:paraId="0A836402"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L'auteur est à la fois théologien et pasteur.</w:t>
      </w:r>
      <w:r w:rsidRPr="0005324A">
        <w:rPr>
          <w:rFonts w:ascii="Calibri" w:eastAsia="SimHei" w:hAnsi="Calibri" w:cs="Calibri"/>
          <w:vertAlign w:val="superscript"/>
          <w:lang w:val="fr-FR"/>
        </w:rPr>
        <w:footnoteReference w:id="2"/>
      </w:r>
      <w:r w:rsidRPr="0005324A">
        <w:rPr>
          <w:rFonts w:ascii="Palatino" w:eastAsia="SimHei" w:hAnsi="Palatino" w:cs="Arial"/>
          <w:lang w:val="fr-FR"/>
        </w:rPr>
        <w:t xml:space="preserve"> </w:t>
      </w:r>
      <w:r w:rsidRPr="0005324A">
        <w:rPr>
          <w:rFonts w:ascii="Calibri" w:eastAsia="SimHei" w:hAnsi="Calibri" w:cs="Calibri"/>
          <w:lang w:val="fr-FR"/>
        </w:rPr>
        <w:t>En d'autres termes, l'auteur se montre parfois doux et attentionné envers son audience, tandis qu'il se montre parfois sévère dans sa manière de communiquer avec eux.</w:t>
      </w:r>
      <w:r w:rsidRPr="0005324A">
        <w:rPr>
          <w:rFonts w:ascii="Palatino" w:eastAsia="SimHei" w:hAnsi="Palatino" w:cs="Arial"/>
          <w:lang w:val="fr-FR"/>
        </w:rPr>
        <w:t xml:space="preserve"> </w:t>
      </w:r>
      <w:r w:rsidRPr="0005324A">
        <w:rPr>
          <w:rFonts w:ascii="Calibri" w:eastAsia="SimHei" w:hAnsi="Calibri" w:cs="Calibri"/>
          <w:lang w:val="fr-FR"/>
        </w:rPr>
        <w:t>Cette lettre est à la fois abstraite et théologique, tout en étant pleine d'encouragements concrets.</w:t>
      </w:r>
    </w:p>
    <w:p w14:paraId="6DA06416"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Il emploie un Grec de haut niveau, à la fois littéraire et raffiné. On le place ici au même rang que Luc, qui était un médecin très instruit. Son style est considéré comme plus élevé que celui de Paul. Il y a 154 mots utilisés dans la lettre aux Hébreux qui n'apparaissent nulle part ailleurs dans le Nouveau Testament.</w:t>
      </w:r>
      <w:r w:rsidRPr="0005324A">
        <w:rPr>
          <w:rFonts w:ascii="Calibri" w:eastAsia="SimHei" w:hAnsi="Calibri" w:cs="Calibri"/>
          <w:vertAlign w:val="superscript"/>
          <w:lang w:val="fr-FR"/>
        </w:rPr>
        <w:footnoteReference w:id="3"/>
      </w:r>
    </w:p>
    <w:p w14:paraId="3D2C8525"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Il est d’origine juive. Il appelle les saints de l’AT ses ancêtres (1.1). Cette conclusion n'est peut-être pas tout à fait solide, car l'auteur pourrait faire référence aux pères juifs en tant qu'ancêtres spirituels. On retrouve cette utilisation ailleurs dans le Nouveau Testament (Paul : Ga 3.1–14 et 1Co 10.1).</w:t>
      </w:r>
    </w:p>
    <w:p w14:paraId="6FFCBE85" w14:textId="77777777" w:rsidR="0005324A" w:rsidRPr="0005324A" w:rsidRDefault="0005324A" w:rsidP="0005324A">
      <w:pPr>
        <w:numPr>
          <w:ilvl w:val="0"/>
          <w:numId w:val="11"/>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Ni les lecteurs, ni l'auteur du livre n'ont rencontré Jésus en personne (2.3). </w:t>
      </w:r>
    </w:p>
    <w:p w14:paraId="4E25EB9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1FCC536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Les options : </w:t>
      </w:r>
    </w:p>
    <w:p w14:paraId="7CA7814F" w14:textId="77777777" w:rsidR="0005324A" w:rsidRPr="0005324A" w:rsidRDefault="0005324A" w:rsidP="0005324A">
      <w:pPr>
        <w:numPr>
          <w:ilvl w:val="0"/>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Paul : C'est de loin l'opinion la plus répandue sur ce sujet. Beaucoup pensent que ce livre a été écrit par l'apôtre lui-même. La plupart des premiers responsables de l'Église (à partir du 2e siècle) croyaient que Paul était l'auteur de cette lettre, ou bien déclaraient ouvertement qu'ils ne le savaient pas. Il semble que l'identité de l'auteur de ce livre ait toujours été incertaine. Y a-t-il des problèmes avec ce point de vue ?</w:t>
      </w:r>
    </w:p>
    <w:p w14:paraId="4118A212"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Introduction et conclusion</w:t>
      </w:r>
      <w:r w:rsidRPr="0005324A">
        <w:rPr>
          <w:rFonts w:ascii="Calibri" w:eastAsia="SimHei" w:hAnsi="Calibri" w:cs="Calibri"/>
          <w:lang w:val="fr-FR"/>
        </w:rPr>
        <w:t xml:space="preserve"> : Il n'y a pas d'introduction commune aux lettres de Paul. Il commence toujours ses lettres de la même manière et les signe souvent à la fin. </w:t>
      </w:r>
    </w:p>
    <w:p w14:paraId="690E5571"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lastRenderedPageBreak/>
        <w:t>Thèmes</w:t>
      </w:r>
      <w:r w:rsidRPr="0005324A">
        <w:rPr>
          <w:rFonts w:ascii="Calibri" w:eastAsia="SimHei" w:hAnsi="Calibri" w:cs="Calibri"/>
          <w:lang w:val="fr-FR"/>
        </w:rPr>
        <w:t> : Il n'est pas fait mention de l'« identité » ni de la « marche ». De plus, le thème de la « chair » et de l'« Esprit » est absent.</w:t>
      </w:r>
    </w:p>
    <w:p w14:paraId="65F0C623"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Apôtre</w:t>
      </w:r>
      <w:r w:rsidRPr="0005324A">
        <w:rPr>
          <w:rFonts w:ascii="Calibri" w:eastAsia="SimHei" w:hAnsi="Calibri" w:cs="Calibri"/>
          <w:lang w:val="fr-FR"/>
        </w:rPr>
        <w:t xml:space="preserve"> : L'auteur ne s'appelle jamais « apôtre ». Ce titre est si souvent utilisé par Paul dans ses lettres qu’il est étrange qu’il n’y figure pas ici. </w:t>
      </w:r>
    </w:p>
    <w:p w14:paraId="60EE10BE"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Langage</w:t>
      </w:r>
      <w:r w:rsidRPr="0005324A">
        <w:rPr>
          <w:rFonts w:ascii="Calibri" w:eastAsia="SimHei" w:hAnsi="Calibri" w:cs="Calibri"/>
          <w:lang w:val="fr-FR"/>
        </w:rPr>
        <w:t xml:space="preserve"> : Le langage et le vocabulaire grecs sont beaucoup plus raffinés et avancés que ceux que Paul utilise généralement. </w:t>
      </w:r>
    </w:p>
    <w:p w14:paraId="280535AC"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Citations</w:t>
      </w:r>
      <w:r w:rsidRPr="0005324A">
        <w:rPr>
          <w:rFonts w:ascii="Calibri" w:eastAsia="SimHei" w:hAnsi="Calibri" w:cs="Calibri"/>
          <w:lang w:val="fr-FR"/>
        </w:rPr>
        <w:t> : Paul cite habituellement l’Ancien Testament hébreu dans ses lettres. Cet auteur cite principalement l’Ancien Testament grec, qui était plus courant chez les Juifs « hellénistiques », c’est-à-dire les Juifs qui s’étaient adaptés à la vie parmi les Grecs</w:t>
      </w:r>
      <w:r w:rsidRPr="0005324A">
        <w:rPr>
          <w:rFonts w:ascii="Calibri" w:eastAsia="SimHei" w:hAnsi="Calibri" w:cs="Calibri"/>
          <w:vertAlign w:val="superscript"/>
          <w:lang w:val="fr-FR"/>
        </w:rPr>
        <w:footnoteReference w:id="4"/>
      </w:r>
      <w:r w:rsidRPr="0005324A">
        <w:rPr>
          <w:rFonts w:ascii="Calibri" w:eastAsia="SimHei" w:hAnsi="Calibri" w:cs="Calibri"/>
          <w:lang w:val="fr-FR"/>
        </w:rPr>
        <w:t>.</w:t>
      </w:r>
    </w:p>
    <w:p w14:paraId="6AE8C97E"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Mais si Luc avait traduit ce livre, Paul l'aurait alors rédigé dans sa langue maternelle, l'hébreu. Il l'aurait aussi écrit directement aux Juifs, contrairement à toutes ses autres lettres. Est-ce que cela suffit à expliquer ces différences ? Peut-être...</w:t>
      </w:r>
    </w:p>
    <w:p w14:paraId="7F86E7F2" w14:textId="77777777" w:rsidR="0005324A" w:rsidRPr="0005324A" w:rsidRDefault="0005324A" w:rsidP="0005324A">
      <w:pPr>
        <w:numPr>
          <w:ilvl w:val="0"/>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Luc : Cette perspective a beaucoup moins de soutien. Le niveau de grec de Luc peut être comparé à celui de cet auteur. Mais Luc était très probablement un médecin grec ; il se peut donc que ce ne soit pas lui l'auteur.</w:t>
      </w:r>
      <w:r w:rsidRPr="0005324A">
        <w:rPr>
          <w:rFonts w:ascii="Palatino" w:eastAsia="SimHei" w:hAnsi="Palatino" w:cs="Arial"/>
          <w:lang w:val="fr-FR"/>
        </w:rPr>
        <w:t xml:space="preserve"> </w:t>
      </w:r>
      <w:r w:rsidRPr="0005324A">
        <w:rPr>
          <w:rFonts w:ascii="Calibri" w:eastAsia="SimHei" w:hAnsi="Calibri" w:cs="Calibri"/>
          <w:lang w:val="fr-FR"/>
        </w:rPr>
        <w:t>L'idée ici est que Luc aurait pu traduire ou transcrire une lettre rédigée par Paul elle-même, qui aurait ensuite été diffusée dans les Églises.</w:t>
      </w:r>
    </w:p>
    <w:p w14:paraId="757D34CF" w14:textId="77777777" w:rsidR="0005324A" w:rsidRPr="0005324A" w:rsidRDefault="0005324A" w:rsidP="0005324A">
      <w:pPr>
        <w:numPr>
          <w:ilvl w:val="0"/>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Barnabas :</w:t>
      </w:r>
    </w:p>
    <w:p w14:paraId="5F5FD9D1"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Barnabas voyageait avec Paul, il connaissait donc probablement Timothée. Il devait également bien connaître la vision du monde juive grâce à leur ministère dans les synagogues.</w:t>
      </w:r>
    </w:p>
    <w:p w14:paraId="7B340110"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Barnabas était un Lévite originaire de Chypre. Il connaît bien le système juridique de Moïse.</w:t>
      </w:r>
    </w:p>
    <w:p w14:paraId="1519B05C"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Barnabas était connu pour être un homme qui savait encourager les autres (« fils de l’encouragement »). Cette lettre est considérée comme une parole d'encouragement (13.22). </w:t>
      </w:r>
    </w:p>
    <w:p w14:paraId="158F8254" w14:textId="77777777" w:rsidR="0005324A" w:rsidRPr="0005324A" w:rsidRDefault="0005324A" w:rsidP="0005324A">
      <w:pPr>
        <w:numPr>
          <w:ilvl w:val="0"/>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Apollos :</w:t>
      </w:r>
    </w:p>
    <w:p w14:paraId="3D87A03D"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lastRenderedPageBreak/>
        <w:t>Ses origines</w:t>
      </w:r>
      <w:r w:rsidRPr="0005324A">
        <w:rPr>
          <w:rFonts w:ascii="Calibri" w:eastAsia="SimHei" w:hAnsi="Calibri" w:cs="Calibri"/>
          <w:lang w:val="fr-FR"/>
        </w:rPr>
        <w:t xml:space="preserve"> : Apollos est un Juif qui a grandi à Alexandrie. Alexandrie, en Afrique du Nord, comptait une importante communauté juive hellénistique. C'est là que la Septante a été traduite. Leur communité est massive à Alexandrie. </w:t>
      </w:r>
    </w:p>
    <w:p w14:paraId="171B2831"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Éducation</w:t>
      </w:r>
      <w:r w:rsidRPr="0005324A">
        <w:rPr>
          <w:rFonts w:ascii="Calibri" w:eastAsia="SimHei" w:hAnsi="Calibri" w:cs="Calibri"/>
          <w:lang w:val="fr-FR"/>
        </w:rPr>
        <w:t> : Apollos est extrêmement bien instruit, et il est connu à Corinthe et à Éphèse pour être un excellent orateur, notamment lorsqu’il débat avec les Juifs dans les synagogues.</w:t>
      </w:r>
    </w:p>
    <w:p w14:paraId="07E1A616"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Biblique</w:t>
      </w:r>
      <w:r w:rsidRPr="0005324A">
        <w:rPr>
          <w:rFonts w:ascii="Calibri" w:eastAsia="SimHei" w:hAnsi="Calibri" w:cs="Calibri"/>
          <w:lang w:val="fr-FR"/>
        </w:rPr>
        <w:t> : Apollos connaît particulièrement bien les Écritures de l'Ancien Testament.</w:t>
      </w:r>
    </w:p>
    <w:p w14:paraId="76AD5C00"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Une école</w:t>
      </w:r>
      <w:r w:rsidRPr="0005324A">
        <w:rPr>
          <w:rFonts w:ascii="Calibri" w:eastAsia="SimHei" w:hAnsi="Calibri" w:cs="Calibri"/>
          <w:lang w:val="fr-FR"/>
        </w:rPr>
        <w:t> : Il y a une école biblique à Alexandrie qui est connue pour utiliser l'Ancien Testament de la même manière que cet auteur, en particulier les passages qui semblent exagérés pour faire passer un message.</w:t>
      </w:r>
    </w:p>
    <w:p w14:paraId="73AF6D2C"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Pourquoi pas </w:t>
      </w:r>
      <w:r w:rsidRPr="0005324A">
        <w:rPr>
          <w:rFonts w:ascii="Calibri" w:eastAsia="SimHei" w:hAnsi="Calibri" w:cs="Calibri"/>
          <w:lang w:val="fr-FR"/>
        </w:rPr>
        <w:t xml:space="preserve">? </w:t>
      </w:r>
    </w:p>
    <w:p w14:paraId="2BFC36E2" w14:textId="77777777" w:rsidR="0005324A" w:rsidRPr="0005324A" w:rsidRDefault="0005324A" w:rsidP="0005324A">
      <w:pPr>
        <w:numPr>
          <w:ilvl w:val="2"/>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Aucune tradition n’attribue la lettre à Apollos. </w:t>
      </w:r>
    </w:p>
    <w:p w14:paraId="05D2465C" w14:textId="77777777" w:rsidR="0005324A" w:rsidRPr="0005324A" w:rsidRDefault="0005324A" w:rsidP="0005324A">
      <w:pPr>
        <w:numPr>
          <w:ilvl w:val="2"/>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Si cette lettre avait été écrite par un auteur d'Alexandrie, on pourrait s'attendre à ce que son origine soit claire pour les croyants d'Alexandrie, plus que pour quiconque. Mais les textes anciens montrent que les croyants d'Alexandrie ne semblaient pas savoir avec certitude qui en était l'auteur.</w:t>
      </w:r>
    </w:p>
    <w:p w14:paraId="6EE1EB1F" w14:textId="77777777" w:rsidR="0005324A" w:rsidRPr="0005324A" w:rsidRDefault="0005324A" w:rsidP="0005324A">
      <w:pPr>
        <w:numPr>
          <w:ilvl w:val="1"/>
          <w:numId w:val="13"/>
        </w:numPr>
        <w:spacing w:after="200" w:line="312" w:lineRule="auto"/>
        <w:contextualSpacing/>
        <w:rPr>
          <w:rFonts w:ascii="Calibri" w:eastAsia="SimHei" w:hAnsi="Calibri" w:cs="Calibri"/>
          <w:lang w:val="fr-FR"/>
        </w:rPr>
      </w:pPr>
      <w:r w:rsidRPr="0005324A">
        <w:rPr>
          <w:rFonts w:ascii="Calibri" w:eastAsia="SimHei" w:hAnsi="Calibri" w:cs="Calibri"/>
          <w:lang w:val="fr-FR"/>
        </w:rPr>
        <w:t>Compte tenu de ces réserves, je pense qu'Apollos est l'auteur de cette lettre. Mais je n'en suis pas certain.</w:t>
      </w:r>
    </w:p>
    <w:p w14:paraId="6C05EAD6" w14:textId="77777777" w:rsidR="0005324A" w:rsidRPr="0005324A" w:rsidRDefault="0005324A" w:rsidP="0005324A">
      <w:pPr>
        <w:ind w:left="720"/>
        <w:contextualSpacing/>
        <w:rPr>
          <w:rFonts w:ascii="Palatino" w:eastAsia="SimHei" w:hAnsi="Palatino" w:cs="Arial"/>
          <w:lang w:val="fr-FR"/>
        </w:rPr>
      </w:pPr>
    </w:p>
    <w:p w14:paraId="3A0F0735"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9" w:name="_Toc226540379"/>
      <w:r w:rsidRPr="0005324A">
        <w:rPr>
          <w:rFonts w:ascii="Calibri" w:eastAsia="SimHei" w:hAnsi="Calibri" w:cs="Calibri"/>
          <w:b/>
          <w:color w:val="2A2A2A"/>
          <w:kern w:val="0"/>
          <w:sz w:val="28"/>
          <w:lang w:val="fr-FR" w:eastAsia="ja-JP"/>
          <w14:ligatures w14:val="none"/>
        </w:rPr>
        <w:t>Les auditeurs :</w:t>
      </w:r>
      <w:bookmarkEnd w:id="9"/>
    </w:p>
    <w:p w14:paraId="6D9452A5"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L'introduction du livre inclut les mots « aux Hébreux ». Mais cette phrase ne figure pas dans le manuscrit original. Ainsi, même le titre du livre n'est qu'une hypothèse.</w:t>
      </w:r>
    </w:p>
    <w:p w14:paraId="6E336E5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Que peut-on déduire du livre concernant les lecteurs ?</w:t>
      </w:r>
    </w:p>
    <w:p w14:paraId="461CD6BF" w14:textId="77777777" w:rsidR="0005324A" w:rsidRPr="0005324A" w:rsidRDefault="0005324A" w:rsidP="0005324A">
      <w:pPr>
        <w:numPr>
          <w:ilvl w:val="0"/>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Leur</w:t>
      </w:r>
      <w:r w:rsidRPr="0005324A">
        <w:rPr>
          <w:rFonts w:ascii="Calibri" w:eastAsia="SimHei" w:hAnsi="Calibri" w:cs="Calibri"/>
          <w:lang w:val="fr-FR"/>
        </w:rPr>
        <w:t xml:space="preserve"> </w:t>
      </w:r>
      <w:r w:rsidRPr="0005324A">
        <w:rPr>
          <w:rFonts w:ascii="Calibri" w:eastAsia="SimHei" w:hAnsi="Calibri" w:cs="Calibri"/>
          <w:b/>
          <w:bCs/>
          <w:lang w:val="fr-FR"/>
        </w:rPr>
        <w:t>conversion</w:t>
      </w:r>
      <w:r w:rsidRPr="0005324A">
        <w:rPr>
          <w:rFonts w:ascii="Calibri" w:eastAsia="SimHei" w:hAnsi="Calibri" w:cs="Calibri"/>
          <w:lang w:val="fr-FR"/>
        </w:rPr>
        <w:t> : Ils ont entendu ce message de la bouche d'autres personnes que Jésus. Cela signifie probablement qu'ils ne vivaient pas à Jérusalem ni dans ses environs (2.3). Comme il avait des dirigeants établis, ce groupe était probablement une Église bien établie, ou un ensemble d'Églises, situé quelque part où vivait une large population de croyants d'origine juive.</w:t>
      </w:r>
    </w:p>
    <w:p w14:paraId="5B6740D1" w14:textId="77777777" w:rsidR="0005324A" w:rsidRPr="0005324A" w:rsidRDefault="0005324A" w:rsidP="0005324A">
      <w:pPr>
        <w:numPr>
          <w:ilvl w:val="0"/>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lastRenderedPageBreak/>
        <w:t>La loi et des traditions juives</w:t>
      </w:r>
      <w:r w:rsidRPr="0005324A">
        <w:rPr>
          <w:rFonts w:ascii="Calibri" w:eastAsia="SimHei" w:hAnsi="Calibri" w:cs="Calibri"/>
          <w:lang w:val="fr-FR"/>
        </w:rPr>
        <w:t> : La principale préoccupation de l'auteur est que ce groupe commette une apostasie</w:t>
      </w:r>
      <w:r w:rsidRPr="0005324A">
        <w:rPr>
          <w:rFonts w:ascii="Calibri" w:eastAsia="SimHei" w:hAnsi="Calibri" w:cs="Calibri"/>
          <w:vertAlign w:val="superscript"/>
          <w:lang w:val="fr-FR"/>
        </w:rPr>
        <w:footnoteReference w:id="5"/>
      </w:r>
      <w:r w:rsidRPr="0005324A">
        <w:rPr>
          <w:rFonts w:ascii="Calibri" w:eastAsia="SimHei" w:hAnsi="Calibri" w:cs="Calibri"/>
          <w:lang w:val="fr-FR"/>
        </w:rPr>
        <w:t xml:space="preserve"> et revienne aux croyances, pratiques et coutumes juives qui reposent sur l'ancienne alliance et la loi de Moïse.</w:t>
      </w:r>
      <w:r w:rsidRPr="0005324A">
        <w:rPr>
          <w:rFonts w:ascii="Palatino" w:eastAsia="SimHei" w:hAnsi="Palatino" w:cs="Arial"/>
          <w:lang w:val="fr-FR"/>
        </w:rPr>
        <w:t xml:space="preserve"> </w:t>
      </w:r>
      <w:r w:rsidRPr="0005324A">
        <w:rPr>
          <w:rFonts w:ascii="Calibri" w:eastAsia="SimHei" w:hAnsi="Calibri" w:cs="Calibri"/>
          <w:lang w:val="fr-FR"/>
        </w:rPr>
        <w:t>Cela nous indique qu'au moins une grande partie de ce groupe avait une connaissance de la loi et des traditions juives.</w:t>
      </w:r>
    </w:p>
    <w:p w14:paraId="232E6D31"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Melchisédech</w:t>
      </w:r>
      <w:r w:rsidRPr="0005324A">
        <w:rPr>
          <w:rFonts w:ascii="Calibri" w:eastAsia="SimHei" w:hAnsi="Calibri" w:cs="Calibri"/>
          <w:lang w:val="fr-FR"/>
        </w:rPr>
        <w:t xml:space="preserve"> : L'auteur souligne l'importance de l'ordre de Melchisédech, qui remplace les Lévites en tant que lignée de prêtres supérieure. Cela n'aurait aucun sens pour les non-juifs qui ne connaissent pas l'histoire juive. </w:t>
      </w:r>
    </w:p>
    <w:p w14:paraId="471FAD6B"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Moïse</w:t>
      </w:r>
      <w:r w:rsidRPr="0005324A">
        <w:rPr>
          <w:rFonts w:ascii="Calibri" w:eastAsia="SimHei" w:hAnsi="Calibri" w:cs="Calibri"/>
          <w:lang w:val="fr-FR"/>
        </w:rPr>
        <w:t> : L'auteur soutient que Jésus est plus important que Moïse, une figure qui occupe une place centrale dans la religion juive.</w:t>
      </w:r>
    </w:p>
    <w:p w14:paraId="254CB9B0"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Rabbins</w:t>
      </w:r>
      <w:r w:rsidRPr="0005324A">
        <w:rPr>
          <w:rFonts w:ascii="Calibri" w:eastAsia="SimHei" w:hAnsi="Calibri" w:cs="Calibri"/>
          <w:lang w:val="fr-FR"/>
        </w:rPr>
        <w:t> : L'auteur utilise certaines stratégies qui, en réalité, n'étaient employées que par les rabbins pour interpréter l'Ancien Testament (7.13, 14).</w:t>
      </w:r>
    </w:p>
    <w:p w14:paraId="0B7C6A49"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Conclusion</w:t>
      </w:r>
      <w:r w:rsidRPr="0005324A">
        <w:rPr>
          <w:rFonts w:ascii="Calibri" w:eastAsia="SimHei" w:hAnsi="Calibri" w:cs="Calibri"/>
          <w:lang w:val="fr-FR"/>
        </w:rPr>
        <w:t> : Il semble que ce groupe ait été composé, en tout ou en partie, de croyants d'origine juive.</w:t>
      </w:r>
    </w:p>
    <w:p w14:paraId="3F0621BA" w14:textId="77777777" w:rsidR="0005324A" w:rsidRPr="0005324A" w:rsidRDefault="0005324A" w:rsidP="0005324A">
      <w:pPr>
        <w:numPr>
          <w:ilvl w:val="0"/>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Utilisation de l'AT</w:t>
      </w:r>
      <w:r w:rsidRPr="0005324A">
        <w:rPr>
          <w:rFonts w:ascii="Calibri" w:eastAsia="SimHei" w:hAnsi="Calibri" w:cs="Calibri"/>
          <w:lang w:val="fr-FR"/>
        </w:rPr>
        <w:t> : En raison de l'utilisation du grec par l'auteur et des citations tirées de l'Ancien Testament grec, ce groupe était très probablement composé de Juifs hellénistiques vivant quelque part en dehors d'Israël.</w:t>
      </w:r>
    </w:p>
    <w:p w14:paraId="6948A0AE" w14:textId="77777777" w:rsidR="0005324A" w:rsidRPr="0005324A" w:rsidRDefault="0005324A" w:rsidP="0005324A">
      <w:pPr>
        <w:numPr>
          <w:ilvl w:val="0"/>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Sont-ils de </w:t>
      </w:r>
      <w:r w:rsidRPr="0005324A">
        <w:rPr>
          <w:rFonts w:ascii="Calibri" w:eastAsia="SimHei" w:hAnsi="Calibri" w:cs="Calibri"/>
          <w:b/>
          <w:bCs/>
          <w:u w:val="single"/>
          <w:lang w:val="fr-FR"/>
        </w:rPr>
        <w:t>véritables</w:t>
      </w:r>
      <w:r w:rsidRPr="0005324A">
        <w:rPr>
          <w:rFonts w:ascii="Calibri" w:eastAsia="SimHei" w:hAnsi="Calibri" w:cs="Calibri"/>
          <w:lang w:val="fr-FR"/>
        </w:rPr>
        <w:t xml:space="preserve"> croyants ?</w:t>
      </w:r>
    </w:p>
    <w:p w14:paraId="22491153"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Tout au long du livre, on les appelle « frères » et « saints » (3.1). </w:t>
      </w:r>
    </w:p>
    <w:p w14:paraId="682A5605"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Ils sont comparés à la génération qui a péri dans le désert. C'est fou de penser que toute cette génération n'était pas sauvée (3.16–19). </w:t>
      </w:r>
    </w:p>
    <w:p w14:paraId="3B32F8D9"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Ceux à qui s'adressent les passages d'avertissement (en particulier 6.4–6) sont les mêmes que ceux qui devraient désormais être des enseignants adultes (5.12). Le problème réside dans leur manque de maturité, et non dans leur manque de justification.</w:t>
      </w:r>
    </w:p>
    <w:p w14:paraId="2D81806A"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Ces auditeurs avaient déjà fait preuve de fidélité, allant jusqu'à souffrir pour leur foi (6.10 ; 10.32–34). </w:t>
      </w:r>
    </w:p>
    <w:p w14:paraId="5C282558"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Le message central de ce livre porte sur la persévérance dans l'épreuve en vue d'une grande récompense, et </w:t>
      </w:r>
      <w:r w:rsidRPr="0005324A">
        <w:rPr>
          <w:rFonts w:ascii="Calibri" w:eastAsia="SimHei" w:hAnsi="Calibri" w:cs="Calibri"/>
          <w:u w:val="single"/>
          <w:lang w:val="fr-FR"/>
        </w:rPr>
        <w:t>non sur la foi initiale en Christ</w:t>
      </w:r>
      <w:r w:rsidRPr="0005324A">
        <w:rPr>
          <w:rFonts w:ascii="Calibri" w:eastAsia="SimHei" w:hAnsi="Calibri" w:cs="Calibri"/>
          <w:lang w:val="fr-FR"/>
        </w:rPr>
        <w:t xml:space="preserve">. C’est les vrais croyants. </w:t>
      </w:r>
    </w:p>
    <w:p w14:paraId="0B2D7BB6"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Rien n'indique qu'il ait fallu les convaincre pour la première fois des affirmations du Christ. »</w:t>
      </w:r>
      <w:r w:rsidRPr="0005324A">
        <w:rPr>
          <w:rFonts w:ascii="Calibri" w:eastAsia="SimHei" w:hAnsi="Calibri" w:cs="Calibri"/>
          <w:vertAlign w:val="superscript"/>
          <w:lang w:val="fr-FR"/>
        </w:rPr>
        <w:footnoteReference w:id="6"/>
      </w:r>
    </w:p>
    <w:p w14:paraId="6AEFA751" w14:textId="77777777" w:rsidR="0005324A" w:rsidRPr="0005324A" w:rsidRDefault="0005324A" w:rsidP="0005324A">
      <w:pPr>
        <w:numPr>
          <w:ilvl w:val="0"/>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lastRenderedPageBreak/>
        <w:t>Une communauté particulière</w:t>
      </w:r>
      <w:r w:rsidRPr="0005324A">
        <w:rPr>
          <w:rFonts w:ascii="Calibri" w:eastAsia="SimHei" w:hAnsi="Calibri" w:cs="Calibri"/>
          <w:lang w:val="fr-FR"/>
        </w:rPr>
        <w:t> : Ces croyants font partie d'un groupe géographique bien défini.</w:t>
      </w:r>
    </w:p>
    <w:p w14:paraId="06F2C318"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Ils partagent une histoire commune (6.10 ; 10.32–34). </w:t>
      </w:r>
    </w:p>
    <w:p w14:paraId="2A331C27"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L'auteur souhaitait leur rendre visite (13.21). </w:t>
      </w:r>
    </w:p>
    <w:p w14:paraId="05CBD2FF"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Certains de leurs dirigeants sont décédés (13.7). </w:t>
      </w:r>
    </w:p>
    <w:p w14:paraId="776A3768" w14:textId="77777777" w:rsidR="0005324A" w:rsidRPr="0005324A" w:rsidRDefault="0005324A" w:rsidP="0005324A">
      <w:pPr>
        <w:numPr>
          <w:ilvl w:val="0"/>
          <w:numId w:val="14"/>
        </w:numPr>
        <w:spacing w:after="200" w:line="312" w:lineRule="auto"/>
        <w:contextualSpacing/>
        <w:rPr>
          <w:rFonts w:ascii="Calibri" w:eastAsia="SimHei" w:hAnsi="Calibri" w:cs="Calibri"/>
          <w:lang w:val="fr-FR"/>
        </w:rPr>
      </w:pPr>
      <w:r w:rsidRPr="0005324A">
        <w:rPr>
          <w:rFonts w:ascii="Calibri" w:eastAsia="SimHei" w:hAnsi="Calibri" w:cs="Calibri"/>
          <w:b/>
          <w:bCs/>
          <w:lang w:val="fr-FR"/>
        </w:rPr>
        <w:t>Un groupe dans un groupe</w:t>
      </w:r>
      <w:r w:rsidRPr="0005324A">
        <w:rPr>
          <w:rFonts w:ascii="Calibri" w:eastAsia="SimHei" w:hAnsi="Calibri" w:cs="Calibri"/>
          <w:lang w:val="fr-FR"/>
        </w:rPr>
        <w:t> : Les lecteurs de cette lettre sont probablement un petit groupe de croyants au sein d'une communauté plus large qui a abandonné la foi ou qui est tentée de le faire.</w:t>
      </w:r>
    </w:p>
    <w:p w14:paraId="40DC8884"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Ils semblaient ignorer leurs dirigeants, qui marchent fidèlement (13.7, 17, 24). </w:t>
      </w:r>
    </w:p>
    <w:p w14:paraId="676E13D5" w14:textId="77777777" w:rsidR="0005324A" w:rsidRPr="0005324A" w:rsidRDefault="0005324A" w:rsidP="0005324A">
      <w:pPr>
        <w:numPr>
          <w:ilvl w:val="1"/>
          <w:numId w:val="14"/>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Ils avaient bien commencé, mais ils ne progressent plus (5.12 ; 6.1). </w:t>
      </w:r>
    </w:p>
    <w:p w14:paraId="04FBB118"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p>
    <w:p w14:paraId="46C5899C"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Où sont-ils ?</w:t>
      </w:r>
    </w:p>
    <w:p w14:paraId="233CFFBD"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On ne sait vraiment pas. Le livre lui-même ne contient pas beaucoup d'informations qui nous aideraient à déterminer leur lieu de résidence.</w:t>
      </w:r>
    </w:p>
    <w:p w14:paraId="762BB5DF"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Il n'y a qu'une seule référence à un lieu dans le livre (13.24). « Les frères et sœurs d’Italie vous saluent. » Cela semble indiquer que cette information est pertinente pour l'auditoire. C'est pourquoi beaucoup pensent que ces croyants se trouvaient probablement à Rome. Sinon, cette référence serait trop vague pour avoir une réelle pertinence pour qui que ce soit.</w:t>
      </w:r>
    </w:p>
    <w:p w14:paraId="05ED1F68"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C'est, je pense, la théorie la plus crédible. </w:t>
      </w:r>
    </w:p>
    <w:p w14:paraId="74DA81C4" w14:textId="77777777" w:rsidR="0005324A" w:rsidRPr="0005324A" w:rsidRDefault="0005324A" w:rsidP="0005324A">
      <w:pPr>
        <w:numPr>
          <w:ilvl w:val="1"/>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 y avait à Rome une importante communauté juive, dont le nombre était estimé à environ 60 000 personnes. Parmi ces Juifs, on comptait beaucoup de croyants juifs. </w:t>
      </w:r>
    </w:p>
    <w:p w14:paraId="7DB123C0" w14:textId="77777777" w:rsidR="0005324A" w:rsidRPr="0005324A" w:rsidRDefault="0005324A" w:rsidP="0005324A">
      <w:pPr>
        <w:numPr>
          <w:ilvl w:val="1"/>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Timothée était connu de l'Église de Rome. </w:t>
      </w:r>
    </w:p>
    <w:p w14:paraId="0FB57E01" w14:textId="77777777" w:rsidR="0005324A" w:rsidRPr="0005324A" w:rsidRDefault="0005324A" w:rsidP="0005324A">
      <w:pPr>
        <w:numPr>
          <w:ilvl w:val="1"/>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L'Église de Rome a également subi de graves persécutions dès ses débuts. </w:t>
      </w:r>
    </w:p>
    <w:p w14:paraId="40AFAC94" w14:textId="77777777" w:rsidR="0005324A" w:rsidRPr="0005324A" w:rsidRDefault="0005324A" w:rsidP="0005324A">
      <w:pPr>
        <w:numPr>
          <w:ilvl w:val="1"/>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Cette lettre apparaît très tôt dans les documents découverts à Rome, contrairement à d'autres sites du monde antique. Clément de Rome fait référence à cette lettre dans un texte qu'il a rédigé entre 88 et 97 après J.-C.</w:t>
      </w:r>
    </w:p>
    <w:p w14:paraId="2E7C76CB"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Si les Romains constituaient l'auditoire, cela expliquerait certaines questions que nous nous posons encore aujourd'hui : </w:t>
      </w:r>
    </w:p>
    <w:p w14:paraId="77E61918" w14:textId="77777777" w:rsidR="0005324A" w:rsidRPr="0005324A" w:rsidRDefault="0005324A" w:rsidP="0005324A">
      <w:pPr>
        <w:numPr>
          <w:ilvl w:val="1"/>
          <w:numId w:val="16"/>
        </w:numPr>
        <w:spacing w:after="200" w:line="312" w:lineRule="auto"/>
        <w:contextualSpacing/>
        <w:rPr>
          <w:rFonts w:ascii="Calibri" w:eastAsia="SimHei" w:hAnsi="Calibri" w:cs="Calibri"/>
          <w:lang w:val="fr-FR"/>
        </w:rPr>
      </w:pPr>
      <w:r w:rsidRPr="0005324A">
        <w:rPr>
          <w:rFonts w:ascii="Calibri" w:eastAsia="SimHei" w:hAnsi="Calibri" w:cs="Calibri"/>
          <w:lang w:val="fr-FR"/>
        </w:rPr>
        <w:t>Pourquoi le temple n’est-il pas mentionné dans ce livre ? Si ces croyants se trouvaient à Jérusalem, il serait étrange de mentionner la tente plutôt que le bâtiment lui-même.</w:t>
      </w:r>
    </w:p>
    <w:p w14:paraId="515D9545" w14:textId="77777777" w:rsidR="0005324A" w:rsidRPr="0005324A" w:rsidRDefault="0005324A" w:rsidP="0005324A">
      <w:pPr>
        <w:numPr>
          <w:ilvl w:val="1"/>
          <w:numId w:val="16"/>
        </w:numPr>
        <w:spacing w:after="200" w:line="312" w:lineRule="auto"/>
        <w:contextualSpacing/>
        <w:rPr>
          <w:rFonts w:ascii="Calibri" w:eastAsia="SimHei" w:hAnsi="Calibri" w:cs="Calibri"/>
          <w:lang w:val="fr-FR"/>
        </w:rPr>
      </w:pPr>
      <w:r w:rsidRPr="0005324A">
        <w:rPr>
          <w:rFonts w:ascii="Calibri" w:eastAsia="SimHei" w:hAnsi="Calibri" w:cs="Calibri"/>
          <w:lang w:val="fr-FR"/>
        </w:rPr>
        <w:lastRenderedPageBreak/>
        <w:t>Pourquoi les citations de l’Ancien Testament sont-elles tirées de la Bible grecque ?</w:t>
      </w:r>
    </w:p>
    <w:p w14:paraId="0E3452F5" w14:textId="77777777" w:rsidR="0005324A" w:rsidRPr="0005324A" w:rsidRDefault="0005324A" w:rsidP="0005324A">
      <w:pPr>
        <w:numPr>
          <w:ilvl w:val="1"/>
          <w:numId w:val="16"/>
        </w:numPr>
        <w:spacing w:after="200" w:line="312" w:lineRule="auto"/>
        <w:contextualSpacing/>
        <w:rPr>
          <w:rFonts w:ascii="Calibri" w:eastAsia="SimHei" w:hAnsi="Calibri" w:cs="Calibri"/>
          <w:lang w:val="fr-FR"/>
        </w:rPr>
      </w:pPr>
      <w:r w:rsidRPr="0005324A">
        <w:rPr>
          <w:rFonts w:ascii="Calibri" w:eastAsia="SimHei" w:hAnsi="Calibri" w:cs="Calibri"/>
          <w:lang w:val="fr-FR"/>
        </w:rPr>
        <w:t>Ce groupe n’a pas encore subi de persécution jusqu’à la mort (12.4). Mais l’Église de Jérusalem comptait déjà parmi ses membres des personnes qui avaient résisté jusqu’au sang (pensez à Étienne).</w:t>
      </w:r>
    </w:p>
    <w:p w14:paraId="085F4125"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Certains en concluent que cette phrase (« les frères et sœurs d’Italie vous saluent ») signifie en réalité le contraire. Ils affirment que l'auteur écrit depuis Rome et que ce sont les Italiens qui saluent. Je ne peux pas réfuter cette hypothèse complètement, c'est pourquoi je dis, sans certitude, que ce texte s'adresse aux Romains. Quoi qu'il en soit, le message s'applique aux croyants juifs, où qu'ils vivent.</w:t>
      </w:r>
    </w:p>
    <w:p w14:paraId="4952EE80"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Tout cela me porte à penser que Rome était leur lieu de résidence, mais personne ne peut l'affirmer avec certitude. Ces chrétiens d'origine juive auraient très bien pu vivre dans presque n'importe quelle ville du monde antique, car les Juifs étaient présents partout.</w:t>
      </w:r>
      <w:r w:rsidRPr="0005324A">
        <w:rPr>
          <w:rFonts w:ascii="Calibri" w:eastAsia="SimHei" w:hAnsi="Calibri" w:cs="Calibri"/>
          <w:vertAlign w:val="superscript"/>
          <w:lang w:val="fr-FR"/>
        </w:rPr>
        <w:footnoteReference w:id="7"/>
      </w:r>
    </w:p>
    <w:p w14:paraId="0D9477F9" w14:textId="77777777" w:rsidR="0005324A" w:rsidRPr="0005324A" w:rsidRDefault="0005324A" w:rsidP="0005324A">
      <w:pPr>
        <w:ind w:left="720"/>
        <w:contextualSpacing/>
        <w:rPr>
          <w:rFonts w:ascii="Calibri" w:eastAsia="SimHei" w:hAnsi="Calibri" w:cs="Calibri"/>
          <w:lang w:val="fr-FR"/>
        </w:rPr>
      </w:pPr>
    </w:p>
    <w:p w14:paraId="13CB4C46"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10" w:name="_Toc226540380"/>
      <w:r w:rsidRPr="0005324A">
        <w:rPr>
          <w:rFonts w:ascii="Calibri" w:eastAsia="SimHei" w:hAnsi="Calibri" w:cs="Calibri"/>
          <w:b/>
          <w:color w:val="2A2A2A"/>
          <w:kern w:val="0"/>
          <w:sz w:val="28"/>
          <w:lang w:val="fr-FR" w:eastAsia="ja-JP"/>
          <w14:ligatures w14:val="none"/>
        </w:rPr>
        <w:t>Date :</w:t>
      </w:r>
      <w:bookmarkEnd w:id="10"/>
    </w:p>
    <w:p w14:paraId="7939D179"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 xml:space="preserve">Cette lettre a été écrite entre </w:t>
      </w:r>
      <w:r w:rsidRPr="0005324A">
        <w:rPr>
          <w:rFonts w:ascii="Calibri" w:eastAsia="Tahoma" w:hAnsi="Calibri" w:cs="Calibri"/>
          <w:b/>
          <w:bCs/>
          <w:color w:val="2A2A2A"/>
          <w:kern w:val="0"/>
          <w:szCs w:val="22"/>
          <w:lang w:val="fr-FR" w:eastAsia="ja-JP"/>
          <w14:ligatures w14:val="none"/>
        </w:rPr>
        <w:t>les années 60 et 70</w:t>
      </w:r>
      <w:r w:rsidRPr="0005324A">
        <w:rPr>
          <w:rFonts w:ascii="Calibri" w:eastAsia="Tahoma" w:hAnsi="Calibri" w:cs="Calibri"/>
          <w:color w:val="2A2A2A"/>
          <w:kern w:val="0"/>
          <w:szCs w:val="22"/>
          <w:lang w:val="fr-FR" w:eastAsia="ja-JP"/>
          <w14:ligatures w14:val="none"/>
        </w:rPr>
        <w:t xml:space="preserve">. </w:t>
      </w:r>
    </w:p>
    <w:p w14:paraId="3A260A11"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Le temple a été détruit </w:t>
      </w:r>
      <w:r w:rsidRPr="0005324A">
        <w:rPr>
          <w:rFonts w:ascii="Calibri" w:eastAsia="SimHei" w:hAnsi="Calibri" w:cs="Calibri"/>
          <w:b/>
          <w:bCs/>
          <w:lang w:val="fr-FR"/>
        </w:rPr>
        <w:t>en 70</w:t>
      </w:r>
      <w:r w:rsidRPr="0005324A">
        <w:rPr>
          <w:rFonts w:ascii="Calibri" w:eastAsia="SimHei" w:hAnsi="Calibri" w:cs="Calibri"/>
          <w:lang w:val="fr-FR"/>
        </w:rPr>
        <w:t xml:space="preserve">. Ainsi, si un des principaux objectifs de l'auteur est de démontrer l'insuffisance de l'ancien système, alors un temple détruit serait un exemple parfait. Cet argument est suffisamment solide pour affirmer que </w:t>
      </w:r>
      <w:r w:rsidRPr="0005324A">
        <w:rPr>
          <w:rFonts w:ascii="Calibri" w:eastAsia="SimHei" w:hAnsi="Calibri" w:cs="Calibri"/>
          <w:b/>
          <w:bCs/>
          <w:lang w:val="fr-FR"/>
        </w:rPr>
        <w:t>la lettre a probablement été écrite avant cette date</w:t>
      </w:r>
      <w:r w:rsidRPr="0005324A">
        <w:rPr>
          <w:rFonts w:ascii="Calibri" w:eastAsia="SimHei" w:hAnsi="Calibri" w:cs="Calibri"/>
          <w:lang w:val="fr-FR"/>
        </w:rPr>
        <w:t xml:space="preserve">. Des références dans le livre lui-même indiquent également que le culte au temple est toujours pratiqué au moment de la rédaction du livre (8.4 ; 13.10). </w:t>
      </w:r>
    </w:p>
    <w:p w14:paraId="605CF26F"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La lettre doit avoir été écrite pendant que </w:t>
      </w:r>
      <w:r w:rsidRPr="0005324A">
        <w:rPr>
          <w:rFonts w:ascii="Calibri" w:eastAsia="SimHei" w:hAnsi="Calibri" w:cs="Calibri"/>
          <w:b/>
          <w:bCs/>
          <w:lang w:val="fr-FR"/>
        </w:rPr>
        <w:t>Timothée était encore en vie</w:t>
      </w:r>
      <w:r w:rsidRPr="0005324A">
        <w:rPr>
          <w:rFonts w:ascii="Calibri" w:eastAsia="SimHei" w:hAnsi="Calibri" w:cs="Calibri"/>
          <w:lang w:val="fr-FR"/>
        </w:rPr>
        <w:t xml:space="preserve">, puisqu'il est mentionné dans le livre. </w:t>
      </w:r>
    </w:p>
    <w:p w14:paraId="68CD785E" w14:textId="77777777" w:rsidR="0005324A" w:rsidRPr="0005324A" w:rsidRDefault="0005324A" w:rsidP="0005324A">
      <w:pPr>
        <w:numPr>
          <w:ilvl w:val="0"/>
          <w:numId w:val="1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 est possible que Timothée ait été emprisonné avec Paul, mais il est peu probable que Timothée ait été emprisonné avant Paul (Paul a été emprisonné de 60 à 62). Cela signifie que la lettre a été écrite </w:t>
      </w:r>
      <w:r w:rsidRPr="0005324A">
        <w:rPr>
          <w:rFonts w:ascii="Calibri" w:eastAsia="SimHei" w:hAnsi="Calibri" w:cs="Calibri"/>
          <w:b/>
          <w:bCs/>
          <w:lang w:val="fr-FR"/>
        </w:rPr>
        <w:t>après la première libération de Paul, en 62 ou 64.</w:t>
      </w:r>
      <w:r w:rsidRPr="0005324A">
        <w:rPr>
          <w:rFonts w:ascii="Calibri" w:eastAsia="SimHei" w:hAnsi="Calibri" w:cs="Calibri"/>
          <w:b/>
          <w:bCs/>
          <w:vertAlign w:val="superscript"/>
          <w:lang w:val="fr-FR"/>
        </w:rPr>
        <w:footnoteReference w:id="8"/>
      </w:r>
    </w:p>
    <w:p w14:paraId="2D8FAB81" w14:textId="77777777" w:rsidR="0005324A" w:rsidRPr="0005324A" w:rsidRDefault="0005324A" w:rsidP="0005324A">
      <w:pPr>
        <w:ind w:left="720"/>
        <w:contextualSpacing/>
        <w:rPr>
          <w:rFonts w:ascii="Calibri" w:eastAsia="SimHei" w:hAnsi="Calibri" w:cs="Calibri"/>
          <w:lang w:val="fr-FR"/>
        </w:rPr>
      </w:pPr>
    </w:p>
    <w:p w14:paraId="7BB34947"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11" w:name="_Toc226540381"/>
      <w:r w:rsidRPr="0005324A">
        <w:rPr>
          <w:rFonts w:ascii="Calibri" w:eastAsia="SimHei" w:hAnsi="Calibri" w:cs="Calibri"/>
          <w:b/>
          <w:color w:val="2A2A2A"/>
          <w:kern w:val="0"/>
          <w:sz w:val="28"/>
          <w:lang w:val="fr-FR" w:eastAsia="ja-JP"/>
          <w14:ligatures w14:val="none"/>
        </w:rPr>
        <w:lastRenderedPageBreak/>
        <w:t>But :</w:t>
      </w:r>
      <w:bookmarkEnd w:id="11"/>
    </w:p>
    <w:p w14:paraId="280F2BB2"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En fin de compte, nous ne pouvons pas savoir avec certitude qui a écrit ce livre, à qui il s'adressait, ni même où se trouvaient ses lecteurs. Cela ne nous empêche pourtant pas de bien comprendre ce livre, car nous en savons suffisamment pour saisir avec précision ce qu'il représentait pour eux.</w:t>
      </w:r>
    </w:p>
    <w:p w14:paraId="690C0BBA"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Le but de cette lettre est d’encourager et d’interpeller les croyants qui sont en train d’abandonner leur foi, afin qu’ils persévèrent dans l’épreuve et la souffrance par la foi pour obtenir une plus grande récompense. Ce livre n’a pas pour but de convaincre les gens qu’ils sont sauvés, de prouver qu’ils ne sont pas sauvés, ni de les amener au salut. Ce livre est un appel choquant lancé aux personnes vraiment sauvées pour qu’elles écoutent et obéissent à la parole du Seigneur.</w:t>
      </w:r>
    </w:p>
    <w:p w14:paraId="0E2AC407"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L’auteur s’appuie principalement sur deux illustrations ou exemples :</w:t>
      </w:r>
    </w:p>
    <w:p w14:paraId="19AEF1C6" w14:textId="77777777" w:rsidR="0005324A" w:rsidRPr="0005324A" w:rsidRDefault="0005324A" w:rsidP="0005324A">
      <w:pPr>
        <w:numPr>
          <w:ilvl w:val="0"/>
          <w:numId w:val="17"/>
        </w:numPr>
        <w:spacing w:after="200" w:line="312" w:lineRule="auto"/>
        <w:contextualSpacing/>
        <w:rPr>
          <w:rFonts w:ascii="Calibri" w:eastAsia="SimHei" w:hAnsi="Calibri" w:cs="Calibri"/>
          <w:lang w:val="fr-FR"/>
        </w:rPr>
      </w:pPr>
      <w:r w:rsidRPr="0005324A">
        <w:rPr>
          <w:rFonts w:ascii="Calibri" w:eastAsia="SimHei" w:hAnsi="Calibri" w:cs="Calibri"/>
          <w:lang w:val="fr-FR"/>
        </w:rPr>
        <w:t>Le Christ est notre grand prêtre.</w:t>
      </w:r>
    </w:p>
    <w:p w14:paraId="677DF95E" w14:textId="77777777" w:rsidR="0005324A" w:rsidRPr="0005324A" w:rsidRDefault="0005324A" w:rsidP="0005324A">
      <w:pPr>
        <w:numPr>
          <w:ilvl w:val="0"/>
          <w:numId w:val="17"/>
        </w:numPr>
        <w:spacing w:after="200" w:line="312" w:lineRule="auto"/>
        <w:contextualSpacing/>
        <w:rPr>
          <w:rFonts w:ascii="Calibri" w:eastAsia="SimHei" w:hAnsi="Calibri" w:cs="Calibri"/>
          <w:lang w:val="fr-FR"/>
        </w:rPr>
      </w:pPr>
      <w:r w:rsidRPr="0005324A">
        <w:rPr>
          <w:rFonts w:ascii="Calibri" w:eastAsia="SimHei" w:hAnsi="Calibri" w:cs="Calibri"/>
          <w:lang w:val="fr-FR"/>
        </w:rPr>
        <w:t>Les croyants sont des pèlerins qui cheminent avec lui par la foi.</w:t>
      </w:r>
    </w:p>
    <w:p w14:paraId="66D46D14"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p>
    <w:p w14:paraId="7E69819C"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 xml:space="preserve">Contrairement aux lettres de Paul, </w:t>
      </w:r>
      <w:r w:rsidRPr="0005324A">
        <w:rPr>
          <w:rFonts w:ascii="Calibri" w:eastAsia="Tahoma" w:hAnsi="Calibri" w:cs="Calibri"/>
          <w:b/>
          <w:bCs/>
          <w:color w:val="2A2A2A"/>
          <w:kern w:val="0"/>
          <w:szCs w:val="22"/>
          <w:lang w:val="fr-FR" w:eastAsia="ja-JP"/>
          <w14:ligatures w14:val="none"/>
        </w:rPr>
        <w:t>l'application pratique et la doctrine s'entremêlent dès le début pour former une magnifique tapisserie</w:t>
      </w:r>
      <w:r w:rsidRPr="0005324A">
        <w:rPr>
          <w:rFonts w:ascii="Calibri" w:eastAsia="Tahoma" w:hAnsi="Calibri" w:cs="Calibri"/>
          <w:color w:val="2A2A2A"/>
          <w:kern w:val="0"/>
          <w:szCs w:val="22"/>
          <w:lang w:val="fr-FR" w:eastAsia="ja-JP"/>
          <w14:ligatures w14:val="none"/>
        </w:rPr>
        <w:t>. Le message principal de l'auteur est qu'ils croient et vivent en accord avec la vérité. Cela signifie que le livre met avant tout l'accent sur leur état d'esprit et leurs actes, plutôt que de se présenter comme un vaste exposé doctrinal.</w:t>
      </w:r>
    </w:p>
    <w:p w14:paraId="309E4CB6"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12" w:name="_Toc226540382"/>
      <w:r w:rsidRPr="0005324A">
        <w:rPr>
          <w:rFonts w:ascii="Calibri" w:eastAsia="SimHei" w:hAnsi="Calibri" w:cs="Calibri"/>
          <w:b/>
          <w:color w:val="2A2A2A"/>
          <w:kern w:val="0"/>
          <w:sz w:val="28"/>
          <w:lang w:val="fr-FR" w:eastAsia="ja-JP"/>
          <w14:ligatures w14:val="none"/>
        </w:rPr>
        <w:t>Structure :</w:t>
      </w:r>
      <w:bookmarkEnd w:id="12"/>
    </w:p>
    <w:p w14:paraId="43F1B284"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Les sept premiers chapitres (1 à 7) de la lettre traitent du lien entre le Christ en tant que Seigneur et le Christ en tant que grand prêtre, tel qu’il est décrit au Psaume 110. Ce double rôle a une grande importance. Les trois chapitres suivants (8 à 10) se concentrent sur les implications du rôle du Christ, en mettant l’accent sur son sacrifice une fois pour toutes. Les trois derniers (11 à 13) chapitres traitent des implications et des exhortations qui découlent de tout ce qu’il a dit. </w:t>
      </w:r>
      <w:r w:rsidRPr="0005324A">
        <w:rPr>
          <w:rFonts w:ascii="Calibri" w:eastAsia="Tahoma" w:hAnsi="Calibri" w:cs="Arial"/>
          <w:color w:val="2A2A2A"/>
          <w:kern w:val="0"/>
          <w:szCs w:val="22"/>
          <w:vertAlign w:val="superscript"/>
          <w:lang w:val="fr-FR" w:eastAsia="ja-JP"/>
          <w14:ligatures w14:val="none"/>
        </w:rPr>
        <w:footnoteReference w:id="9"/>
      </w:r>
    </w:p>
    <w:p w14:paraId="2A5A47F9" w14:textId="77777777" w:rsidR="0005324A" w:rsidRPr="0005324A" w:rsidRDefault="0005324A" w:rsidP="0005324A">
      <w:pPr>
        <w:spacing w:after="200" w:line="312" w:lineRule="auto"/>
        <w:rPr>
          <w:rFonts w:ascii="Calibri" w:eastAsia="Tahoma" w:hAnsi="Calibri" w:cs="Arial"/>
          <w:b/>
          <w:bCs/>
          <w:color w:val="2A2A2A"/>
          <w:kern w:val="0"/>
          <w:szCs w:val="22"/>
          <w:lang w:val="fr-FR" w:eastAsia="ja-JP"/>
          <w14:ligatures w14:val="none"/>
        </w:rPr>
      </w:pPr>
      <w:r w:rsidRPr="0005324A">
        <w:rPr>
          <w:rFonts w:ascii="Calibri" w:eastAsia="Tahoma" w:hAnsi="Calibri" w:cs="Arial"/>
          <w:b/>
          <w:bCs/>
          <w:color w:val="2A2A2A"/>
          <w:kern w:val="0"/>
          <w:szCs w:val="22"/>
          <w:lang w:val="fr-FR" w:eastAsia="ja-JP"/>
          <w14:ligatures w14:val="none"/>
        </w:rPr>
        <w:t>Le plan du livre</w:t>
      </w:r>
      <w:r w:rsidRPr="0005324A">
        <w:rPr>
          <w:rFonts w:ascii="Calibri" w:eastAsia="Tahoma" w:hAnsi="Calibri" w:cs="Arial"/>
          <w:b/>
          <w:bCs/>
          <w:color w:val="2A2A2A"/>
          <w:kern w:val="0"/>
          <w:szCs w:val="22"/>
          <w:vertAlign w:val="superscript"/>
          <w:lang w:val="fr-FR" w:eastAsia="ja-JP"/>
          <w14:ligatures w14:val="none"/>
        </w:rPr>
        <w:footnoteReference w:id="10"/>
      </w:r>
      <w:r w:rsidRPr="0005324A">
        <w:rPr>
          <w:rFonts w:ascii="Calibri" w:eastAsia="Tahoma" w:hAnsi="Calibri" w:cs="Arial"/>
          <w:b/>
          <w:bCs/>
          <w:color w:val="2A2A2A"/>
          <w:kern w:val="0"/>
          <w:szCs w:val="22"/>
          <w:lang w:val="fr-FR" w:eastAsia="ja-JP"/>
          <w14:ligatures w14:val="none"/>
        </w:rPr>
        <w:t xml:space="preserve"> : </w:t>
      </w:r>
    </w:p>
    <w:p w14:paraId="6487E303" w14:textId="77777777" w:rsidR="0005324A" w:rsidRPr="0005324A" w:rsidRDefault="0005324A" w:rsidP="0005324A">
      <w:pPr>
        <w:numPr>
          <w:ilvl w:val="0"/>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Dieu a parlé par Jésus (1.1–4).</w:t>
      </w:r>
    </w:p>
    <w:p w14:paraId="4C1CD5D6" w14:textId="77777777" w:rsidR="0005324A" w:rsidRPr="0005324A" w:rsidRDefault="0005324A" w:rsidP="0005324A">
      <w:pPr>
        <w:numPr>
          <w:ilvl w:val="0"/>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lastRenderedPageBreak/>
        <w:t>Une personne supérieure (1.5–7.28)</w:t>
      </w:r>
    </w:p>
    <w:p w14:paraId="0944543A"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Jésus est supérieur aux anges (1.5–2.18)</w:t>
      </w:r>
    </w:p>
    <w:p w14:paraId="1D5FF49D"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Jésus est supérieur à Moïse (3.1–5.10)</w:t>
      </w:r>
    </w:p>
    <w:p w14:paraId="0537DFB7"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Jésus a un ministère supérieur en tant que grand prêtre (5.11–7.28)</w:t>
      </w:r>
    </w:p>
    <w:p w14:paraId="4B8E1731" w14:textId="77777777" w:rsidR="0005324A" w:rsidRPr="0005324A" w:rsidRDefault="0005324A" w:rsidP="0005324A">
      <w:pPr>
        <w:numPr>
          <w:ilvl w:val="0"/>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Un ministère supérieur (8.1–10.39)</w:t>
      </w:r>
    </w:p>
    <w:p w14:paraId="251C96FB"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Les nouvelles choses rendent les anciennes obsolètes (8.1–13)</w:t>
      </w:r>
    </w:p>
    <w:p w14:paraId="54D8EF67"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Jésus a hérité d'un ministère supérieur dans un tabernacle supérieur (9.1–28)</w:t>
      </w:r>
    </w:p>
    <w:p w14:paraId="2165228E"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Jésus a offert un sacrifice meilleur : lui-même (10.1–18)</w:t>
      </w:r>
    </w:p>
    <w:p w14:paraId="3FEB56C9"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Les croyants devraient persévérer dans leur espérance (10.19–39)</w:t>
      </w:r>
    </w:p>
    <w:p w14:paraId="426D3583" w14:textId="77777777" w:rsidR="0005324A" w:rsidRPr="0005324A" w:rsidRDefault="0005324A" w:rsidP="0005324A">
      <w:pPr>
        <w:numPr>
          <w:ilvl w:val="0"/>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Une réponse appropriée (11.1–13.17)</w:t>
      </w:r>
    </w:p>
    <w:p w14:paraId="72AAA9EB"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Exemples de personnes qui ont tenu leurs promesses pour obtenir une riche récompense (11.1–40)</w:t>
      </w:r>
    </w:p>
    <w:p w14:paraId="18459994"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Courons avec persévérance, les yeux fixés sur Jésus (12.1–29)</w:t>
      </w:r>
    </w:p>
    <w:p w14:paraId="41218A53" w14:textId="77777777" w:rsidR="0005324A" w:rsidRPr="0005324A" w:rsidRDefault="0005324A" w:rsidP="0005324A">
      <w:pPr>
        <w:numPr>
          <w:ilvl w:val="1"/>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La persévérance, c'est aussi prendre soin les uns des autres (13.1–17)</w:t>
      </w:r>
    </w:p>
    <w:p w14:paraId="3EC45789" w14:textId="77777777" w:rsidR="0005324A" w:rsidRPr="0005324A" w:rsidRDefault="0005324A" w:rsidP="0005324A">
      <w:pPr>
        <w:numPr>
          <w:ilvl w:val="0"/>
          <w:numId w:val="18"/>
        </w:numPr>
        <w:spacing w:after="200" w:line="312" w:lineRule="auto"/>
        <w:contextualSpacing/>
        <w:rPr>
          <w:rFonts w:ascii="Calibri" w:eastAsia="SimHei" w:hAnsi="Calibri" w:cs="Calibri"/>
          <w:lang w:val="fr-FR"/>
        </w:rPr>
      </w:pPr>
      <w:r w:rsidRPr="0005324A">
        <w:rPr>
          <w:rFonts w:ascii="Calibri" w:eastAsia="SimHei" w:hAnsi="Calibri" w:cs="Calibri"/>
          <w:lang w:val="fr-FR"/>
        </w:rPr>
        <w:t>Conclusion (13.18–25)</w:t>
      </w:r>
    </w:p>
    <w:p w14:paraId="0D5F0441"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p>
    <w:p w14:paraId="1132F128" w14:textId="77777777" w:rsidR="0005324A" w:rsidRPr="0005324A" w:rsidRDefault="0005324A" w:rsidP="0005324A">
      <w:pPr>
        <w:spacing w:after="200" w:line="312" w:lineRule="auto"/>
        <w:rPr>
          <w:rFonts w:ascii="Calibri" w:eastAsia="Tahoma" w:hAnsi="Calibri" w:cs="Calibri"/>
          <w:b/>
          <w:bCs/>
          <w:color w:val="2A2A2A"/>
          <w:kern w:val="0"/>
          <w:szCs w:val="22"/>
          <w:lang w:val="fr-FR" w:eastAsia="ja-JP"/>
          <w14:ligatures w14:val="none"/>
        </w:rPr>
      </w:pPr>
      <w:r w:rsidRPr="0005324A">
        <w:rPr>
          <w:rFonts w:ascii="Calibri" w:eastAsia="Tahoma" w:hAnsi="Calibri" w:cs="Calibri"/>
          <w:b/>
          <w:bCs/>
          <w:color w:val="2A2A2A"/>
          <w:kern w:val="0"/>
          <w:szCs w:val="22"/>
          <w:lang w:val="fr-FR" w:eastAsia="ja-JP"/>
          <w14:ligatures w14:val="none"/>
        </w:rPr>
        <w:t>Un plan pastoral du livre de Brad Dickson</w:t>
      </w:r>
      <w:r w:rsidRPr="0005324A">
        <w:rPr>
          <w:rFonts w:ascii="Calibri" w:eastAsia="Tahoma" w:hAnsi="Calibri" w:cs="Calibri"/>
          <w:b/>
          <w:bCs/>
          <w:color w:val="2A2A2A"/>
          <w:kern w:val="0"/>
          <w:szCs w:val="22"/>
          <w:vertAlign w:val="superscript"/>
          <w:lang w:val="fr-FR" w:eastAsia="ja-JP"/>
          <w14:ligatures w14:val="none"/>
        </w:rPr>
        <w:footnoteReference w:id="11"/>
      </w:r>
      <w:r w:rsidRPr="0005324A">
        <w:rPr>
          <w:rFonts w:ascii="Calibri" w:eastAsia="Tahoma" w:hAnsi="Calibri" w:cs="Calibri"/>
          <w:b/>
          <w:bCs/>
          <w:color w:val="2A2A2A"/>
          <w:kern w:val="0"/>
          <w:szCs w:val="22"/>
          <w:lang w:val="fr-FR" w:eastAsia="ja-JP"/>
          <w14:ligatures w14:val="none"/>
        </w:rPr>
        <w:t> :</w:t>
      </w:r>
    </w:p>
    <w:p w14:paraId="6A5A4034" w14:textId="77777777" w:rsidR="0005324A" w:rsidRPr="0005324A" w:rsidRDefault="0005324A" w:rsidP="0005324A">
      <w:pPr>
        <w:numPr>
          <w:ilvl w:val="0"/>
          <w:numId w:val="20"/>
        </w:numPr>
        <w:spacing w:after="200" w:line="312" w:lineRule="auto"/>
        <w:contextualSpacing/>
        <w:rPr>
          <w:rFonts w:ascii="Calibri" w:eastAsia="SimHei" w:hAnsi="Calibri" w:cs="Calibri"/>
          <w:lang w:val="fr-FR"/>
        </w:rPr>
      </w:pPr>
      <w:r w:rsidRPr="0005324A">
        <w:rPr>
          <w:rFonts w:ascii="Calibri" w:eastAsia="SimHei" w:hAnsi="Calibri" w:cs="Calibri"/>
          <w:lang w:val="fr-FR"/>
        </w:rPr>
        <w:t>Persévérons dans la foi en Jésus seul, car il est plus grand que les prophètes (1.1–4)</w:t>
      </w:r>
    </w:p>
    <w:p w14:paraId="235DFF55" w14:textId="77777777" w:rsidR="0005324A" w:rsidRPr="0005324A" w:rsidRDefault="0005324A" w:rsidP="0005324A">
      <w:pPr>
        <w:numPr>
          <w:ilvl w:val="0"/>
          <w:numId w:val="20"/>
        </w:numPr>
        <w:spacing w:after="200" w:line="312" w:lineRule="auto"/>
        <w:contextualSpacing/>
        <w:rPr>
          <w:rFonts w:ascii="Calibri" w:eastAsia="SimHei" w:hAnsi="Calibri" w:cs="Calibri"/>
          <w:lang w:val="fr-FR"/>
        </w:rPr>
      </w:pPr>
      <w:r w:rsidRPr="0005324A">
        <w:rPr>
          <w:rFonts w:ascii="Calibri" w:eastAsia="SimHei" w:hAnsi="Calibri" w:cs="Calibri"/>
          <w:lang w:val="fr-FR"/>
        </w:rPr>
        <w:t>Persévérons dans la foi en Jésus seul, car il est plus grand que les anges (1.4–2.18)</w:t>
      </w:r>
    </w:p>
    <w:p w14:paraId="68191DB1" w14:textId="77777777" w:rsidR="0005324A" w:rsidRPr="0005324A" w:rsidRDefault="0005324A" w:rsidP="0005324A">
      <w:pPr>
        <w:numPr>
          <w:ilvl w:val="0"/>
          <w:numId w:val="20"/>
        </w:numPr>
        <w:spacing w:after="200" w:line="312" w:lineRule="auto"/>
        <w:contextualSpacing/>
        <w:rPr>
          <w:rFonts w:ascii="Calibri" w:eastAsia="SimHei" w:hAnsi="Calibri" w:cs="Calibri"/>
          <w:lang w:val="fr-FR"/>
        </w:rPr>
      </w:pPr>
      <w:r w:rsidRPr="0005324A">
        <w:rPr>
          <w:rFonts w:ascii="Calibri" w:eastAsia="SimHei" w:hAnsi="Calibri" w:cs="Calibri"/>
          <w:lang w:val="fr-FR"/>
        </w:rPr>
        <w:t>Persévérons dans la foi en Jésus seul, car il est plus grand que Moïse et Josué (3.1–4.13)</w:t>
      </w:r>
    </w:p>
    <w:p w14:paraId="269509E3" w14:textId="77777777" w:rsidR="0005324A" w:rsidRPr="0005324A" w:rsidRDefault="0005324A" w:rsidP="0005324A">
      <w:pPr>
        <w:numPr>
          <w:ilvl w:val="0"/>
          <w:numId w:val="20"/>
        </w:numPr>
        <w:spacing w:after="200" w:line="312" w:lineRule="auto"/>
        <w:contextualSpacing/>
        <w:rPr>
          <w:rFonts w:ascii="Calibri" w:eastAsia="SimHei" w:hAnsi="Calibri" w:cs="Calibri"/>
          <w:lang w:val="fr-FR"/>
        </w:rPr>
      </w:pPr>
      <w:r w:rsidRPr="0005324A">
        <w:rPr>
          <w:rFonts w:ascii="Calibri" w:eastAsia="SimHei" w:hAnsi="Calibri" w:cs="Calibri"/>
          <w:lang w:val="fr-FR"/>
        </w:rPr>
        <w:t>Persévérons dans la foi en Jésus seul, car il est plus grand que les sacrificateurs de l’ancienne alliance (4.14–7.28)</w:t>
      </w:r>
    </w:p>
    <w:p w14:paraId="3EA9033C" w14:textId="77777777" w:rsidR="0005324A" w:rsidRPr="0005324A" w:rsidRDefault="0005324A" w:rsidP="0005324A">
      <w:pPr>
        <w:numPr>
          <w:ilvl w:val="0"/>
          <w:numId w:val="20"/>
        </w:numPr>
        <w:spacing w:after="200" w:line="312" w:lineRule="auto"/>
        <w:contextualSpacing/>
        <w:rPr>
          <w:rFonts w:ascii="Calibri" w:eastAsia="SimHei" w:hAnsi="Calibri" w:cs="Calibri"/>
          <w:lang w:val="fr-FR"/>
        </w:rPr>
      </w:pPr>
      <w:r w:rsidRPr="0005324A">
        <w:rPr>
          <w:rFonts w:ascii="Calibri" w:eastAsia="SimHei" w:hAnsi="Calibri" w:cs="Calibri"/>
          <w:lang w:val="fr-FR"/>
        </w:rPr>
        <w:t>Persévérons dans la foi en Jésus seul, car il est plus grand que les institutions de l’Ancien Testament (8.1–10.21)</w:t>
      </w:r>
    </w:p>
    <w:p w14:paraId="74EDF05B" w14:textId="77777777" w:rsidR="0005324A" w:rsidRPr="0005324A" w:rsidRDefault="0005324A" w:rsidP="0005324A">
      <w:pPr>
        <w:numPr>
          <w:ilvl w:val="0"/>
          <w:numId w:val="20"/>
        </w:numPr>
        <w:spacing w:after="200" w:line="312" w:lineRule="auto"/>
        <w:contextualSpacing/>
        <w:rPr>
          <w:rFonts w:ascii="Calibri" w:eastAsia="SimHei" w:hAnsi="Calibri" w:cs="Calibri"/>
          <w:lang w:val="fr-FR"/>
        </w:rPr>
      </w:pPr>
      <w:r w:rsidRPr="0005324A">
        <w:rPr>
          <w:rFonts w:ascii="Calibri" w:eastAsia="SimHei" w:hAnsi="Calibri" w:cs="Calibri"/>
          <w:lang w:val="fr-FR"/>
        </w:rPr>
        <w:t>Comment, pratiquement, persévérer dans la foi en Jésus seul (10.22–13.25)</w:t>
      </w:r>
    </w:p>
    <w:p w14:paraId="672AD1E9" w14:textId="77777777" w:rsidR="0005324A" w:rsidRPr="0005324A" w:rsidRDefault="0005324A" w:rsidP="0005324A">
      <w:pPr>
        <w:spacing w:after="200" w:line="312" w:lineRule="auto"/>
        <w:rPr>
          <w:rFonts w:ascii="Calibri" w:eastAsia="Tahoma" w:hAnsi="Calibri" w:cs="Calibri"/>
          <w:color w:val="2A2A2A"/>
          <w:kern w:val="0"/>
          <w:szCs w:val="22"/>
          <w:lang w:val="fr-FR" w:eastAsia="ja-JP"/>
          <w14:ligatures w14:val="none"/>
        </w:rPr>
      </w:pPr>
    </w:p>
    <w:p w14:paraId="70C3C569" w14:textId="77777777" w:rsidR="0005324A" w:rsidRPr="0005324A" w:rsidRDefault="0005324A" w:rsidP="0005324A">
      <w:pPr>
        <w:pBdr>
          <w:top w:val="single" w:sz="4" w:space="1" w:color="auto"/>
          <w:left w:val="single" w:sz="4" w:space="4" w:color="auto"/>
          <w:bottom w:val="single" w:sz="4" w:space="1" w:color="auto"/>
          <w:right w:val="single" w:sz="4" w:space="4" w:color="auto"/>
        </w:pBdr>
        <w:spacing w:after="200" w:line="312" w:lineRule="auto"/>
        <w:rPr>
          <w:rFonts w:ascii="Calibri" w:eastAsia="Tahoma" w:hAnsi="Calibri" w:cs="Calibri"/>
          <w:color w:val="2A2A2A"/>
          <w:kern w:val="0"/>
          <w:szCs w:val="22"/>
          <w:lang w:val="fr-FR" w:eastAsia="ja-JP"/>
          <w14:ligatures w14:val="none"/>
        </w:rPr>
      </w:pPr>
      <w:r w:rsidRPr="0005324A">
        <w:rPr>
          <w:rFonts w:ascii="Calibri" w:eastAsia="Tahoma" w:hAnsi="Calibri" w:cs="Calibri"/>
          <w:color w:val="2A2A2A"/>
          <w:kern w:val="0"/>
          <w:szCs w:val="22"/>
          <w:lang w:val="fr-FR" w:eastAsia="ja-JP"/>
          <w14:ligatures w14:val="none"/>
        </w:rPr>
        <w:t xml:space="preserve">J'ai du mal à établir un plan pour ce livre. Pourquoi ? Parce que tout est tellement interconnecté et étroitement lié. Il est extrêmement difficile de le diviser en sections. C'est là une des faiblesses de cette approche de l'étude de la Bible. Parfois, les plans nous empêchent de voir la vue d'ensemble. Je vous donne ces exemples pour que vous puissiez voir qu’il y a un </w:t>
      </w:r>
      <w:r w:rsidRPr="0005324A">
        <w:rPr>
          <w:rFonts w:ascii="Calibri" w:eastAsia="Tahoma" w:hAnsi="Calibri" w:cs="Calibri"/>
          <w:color w:val="2A2A2A"/>
          <w:kern w:val="0"/>
          <w:szCs w:val="22"/>
          <w:lang w:val="fr-FR" w:eastAsia="ja-JP"/>
          <w14:ligatures w14:val="none"/>
        </w:rPr>
        <w:lastRenderedPageBreak/>
        <w:t>certain ordre dans la lettre. Mais je préférerais presque que vous effaciez les numéros de chapitres et de versets, et que vous lisiez simplement l’ensemble comme une belle pensée continue.</w:t>
      </w:r>
    </w:p>
    <w:p w14:paraId="21795152"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13" w:name="_Toc226540383"/>
      <w:r w:rsidRPr="0005324A">
        <w:rPr>
          <w:rFonts w:ascii="Calibri" w:eastAsia="SimHei" w:hAnsi="Calibri" w:cs="Calibri"/>
          <w:b/>
          <w:color w:val="2A2A2A"/>
          <w:kern w:val="0"/>
          <w:sz w:val="28"/>
          <w:lang w:val="fr-FR" w:eastAsia="ja-JP"/>
          <w14:ligatures w14:val="none"/>
        </w:rPr>
        <w:t>Les passages d'avertissement :</w:t>
      </w:r>
      <w:bookmarkEnd w:id="13"/>
      <w:r w:rsidRPr="0005324A">
        <w:rPr>
          <w:rFonts w:ascii="Calibri" w:eastAsia="SimHei" w:hAnsi="Calibri" w:cs="Calibri"/>
          <w:b/>
          <w:color w:val="2A2A2A"/>
          <w:kern w:val="0"/>
          <w:sz w:val="28"/>
          <w:lang w:val="fr-FR" w:eastAsia="ja-JP"/>
          <w14:ligatures w14:val="none"/>
        </w:rPr>
        <w:t xml:space="preserve"> </w:t>
      </w:r>
    </w:p>
    <w:p w14:paraId="46317A2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 plan de ce livre serait incomplet s'il ne traite pas des « passages d'avertissement ». Il s'agit de passages d'exhortation et d'avertissement dispersés dans le livre. Ce sont aussi les parties les plus controversées du livre. Les voici (Il y a là un débat légitime) :</w:t>
      </w:r>
    </w:p>
    <w:p w14:paraId="7327E8F5" w14:textId="77777777" w:rsidR="0005324A" w:rsidRPr="0005324A" w:rsidRDefault="0005324A" w:rsidP="0005324A">
      <w:pPr>
        <w:numPr>
          <w:ilvl w:val="0"/>
          <w:numId w:val="19"/>
        </w:numPr>
        <w:spacing w:after="200" w:line="312" w:lineRule="auto"/>
        <w:contextualSpacing/>
        <w:rPr>
          <w:rFonts w:ascii="Calibri" w:eastAsia="SimHei" w:hAnsi="Calibri" w:cs="Calibri"/>
          <w:lang w:val="fr-FR"/>
        </w:rPr>
      </w:pPr>
      <w:r w:rsidRPr="0005324A">
        <w:rPr>
          <w:rFonts w:ascii="Calibri" w:eastAsia="SimHei" w:hAnsi="Calibri" w:cs="Calibri"/>
          <w:lang w:val="fr-FR"/>
        </w:rPr>
        <w:t>2.1–4 – « Alors, comment pourrons-nous échapper nous-mêmes au châtiment si nous négligeons un si grand salut ? »</w:t>
      </w:r>
    </w:p>
    <w:p w14:paraId="5D20E115" w14:textId="77777777" w:rsidR="0005324A" w:rsidRPr="0005324A" w:rsidRDefault="0005324A" w:rsidP="0005324A">
      <w:pPr>
        <w:numPr>
          <w:ilvl w:val="0"/>
          <w:numId w:val="19"/>
        </w:numPr>
        <w:spacing w:after="200" w:line="312" w:lineRule="auto"/>
        <w:contextualSpacing/>
        <w:rPr>
          <w:rFonts w:ascii="Calibri" w:eastAsia="SimHei" w:hAnsi="Calibri" w:cs="Calibri"/>
          <w:lang w:val="fr-FR"/>
        </w:rPr>
      </w:pPr>
      <w:r w:rsidRPr="0005324A">
        <w:rPr>
          <w:rFonts w:ascii="Calibri" w:eastAsia="SimHei" w:hAnsi="Calibri" w:cs="Calibri"/>
          <w:lang w:val="fr-FR"/>
        </w:rPr>
        <w:t>3.6–4.13 – « Et sa maison, c’est nous, si du moins nous gardons la pleine assurance et la fierté que nous donne notre espérance. »</w:t>
      </w:r>
    </w:p>
    <w:p w14:paraId="5167D9FD" w14:textId="77777777" w:rsidR="0005324A" w:rsidRPr="0005324A" w:rsidRDefault="0005324A" w:rsidP="0005324A">
      <w:pPr>
        <w:numPr>
          <w:ilvl w:val="0"/>
          <w:numId w:val="19"/>
        </w:numPr>
        <w:spacing w:after="200" w:line="312" w:lineRule="auto"/>
        <w:contextualSpacing/>
        <w:rPr>
          <w:rFonts w:ascii="Calibri" w:eastAsia="SimHei" w:hAnsi="Calibri" w:cs="Calibri"/>
          <w:lang w:val="fr-FR"/>
        </w:rPr>
      </w:pPr>
      <w:r w:rsidRPr="0005324A">
        <w:rPr>
          <w:rFonts w:ascii="Calibri" w:eastAsia="SimHei" w:hAnsi="Calibri" w:cs="Calibri"/>
          <w:lang w:val="fr-FR"/>
        </w:rPr>
        <w:t>5.11–6.12 – « Vous devriez être des maîtres dans les choses de Dieu. »</w:t>
      </w:r>
    </w:p>
    <w:p w14:paraId="1822A650" w14:textId="77777777" w:rsidR="0005324A" w:rsidRPr="0005324A" w:rsidRDefault="0005324A" w:rsidP="0005324A">
      <w:pPr>
        <w:numPr>
          <w:ilvl w:val="0"/>
          <w:numId w:val="19"/>
        </w:numPr>
        <w:spacing w:after="200" w:line="312" w:lineRule="auto"/>
        <w:contextualSpacing/>
        <w:rPr>
          <w:rFonts w:ascii="Calibri" w:eastAsia="SimHei" w:hAnsi="Calibri" w:cs="Calibri"/>
          <w:lang w:val="fr-FR"/>
        </w:rPr>
      </w:pPr>
      <w:r w:rsidRPr="0005324A">
        <w:rPr>
          <w:rFonts w:ascii="Calibri" w:eastAsia="SimHei" w:hAnsi="Calibri" w:cs="Calibri"/>
          <w:lang w:val="fr-FR"/>
        </w:rPr>
        <w:t>10.26–31 – « Si, après avoir reçu la connaissance de la vérité, nous vivons délibérément dans le péché, il ne reste plus pour nous de sacrifice pour les péchés. »</w:t>
      </w:r>
    </w:p>
    <w:p w14:paraId="04531805" w14:textId="77777777" w:rsidR="0005324A" w:rsidRPr="0005324A" w:rsidRDefault="0005324A" w:rsidP="0005324A">
      <w:pPr>
        <w:numPr>
          <w:ilvl w:val="0"/>
          <w:numId w:val="19"/>
        </w:numPr>
        <w:spacing w:after="200" w:line="312" w:lineRule="auto"/>
        <w:contextualSpacing/>
        <w:rPr>
          <w:rFonts w:ascii="Calibri" w:eastAsia="SimHei" w:hAnsi="Calibri" w:cs="Calibri"/>
          <w:lang w:val="fr-FR"/>
        </w:rPr>
      </w:pPr>
      <w:r w:rsidRPr="0005324A">
        <w:rPr>
          <w:rFonts w:ascii="Calibri" w:eastAsia="SimHei" w:hAnsi="Calibri" w:cs="Calibri"/>
          <w:lang w:val="fr-FR"/>
        </w:rPr>
        <w:t>12.25–29 – « Ne refusez pas d’écouter celui qui vous parle. »</w:t>
      </w:r>
    </w:p>
    <w:p w14:paraId="02CD19D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1164EC0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Ces passages s'appuient les uns sur les autres. L'auteur de cette lettre étant à la fois enseignant et pasteur, il intègre ces avertissements très sévères dans son enseignement doctrinal. Nous les aborderons au fur et à mesure, mais il est important de noter que ces passages sont largement mal compris.</w:t>
      </w:r>
    </w:p>
    <w:p w14:paraId="67C0893C"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605DC3D2" w14:textId="77777777" w:rsidR="0005324A" w:rsidRPr="0005324A" w:rsidRDefault="0005324A" w:rsidP="0005324A">
      <w:pPr>
        <w:spacing w:after="200" w:line="312" w:lineRule="auto"/>
        <w:rPr>
          <w:rFonts w:ascii="Calibri" w:eastAsia="Tahoma" w:hAnsi="Calibri" w:cs="Arial"/>
          <w:b/>
          <w:bCs/>
          <w:color w:val="2A2A2A"/>
          <w:kern w:val="0"/>
          <w:szCs w:val="22"/>
          <w:lang w:val="fr-FR" w:eastAsia="ja-JP"/>
          <w14:ligatures w14:val="none"/>
        </w:rPr>
      </w:pPr>
      <w:r w:rsidRPr="0005324A">
        <w:rPr>
          <w:rFonts w:ascii="Calibri" w:eastAsia="Tahoma" w:hAnsi="Calibri" w:cs="Arial"/>
          <w:b/>
          <w:bCs/>
          <w:color w:val="2A2A2A"/>
          <w:kern w:val="0"/>
          <w:szCs w:val="22"/>
          <w:lang w:val="fr-FR" w:eastAsia="ja-JP"/>
          <w14:ligatures w14:val="none"/>
        </w:rPr>
        <w:t>Différentes façons de les comprendre (et de comprendre tout le livre) :</w:t>
      </w:r>
    </w:p>
    <w:p w14:paraId="082E474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i/>
          <w:iCs/>
          <w:color w:val="2A2A2A"/>
          <w:kern w:val="0"/>
          <w:szCs w:val="22"/>
          <w:u w:val="single"/>
          <w:lang w:val="fr-FR" w:eastAsia="ja-JP"/>
          <w14:ligatures w14:val="none"/>
        </w:rPr>
        <w:t>Les signes d'une fausse foi</w:t>
      </w:r>
      <w:r w:rsidRPr="0005324A">
        <w:rPr>
          <w:rFonts w:ascii="Calibri" w:eastAsia="Tahoma" w:hAnsi="Calibri" w:cs="Arial"/>
          <w:color w:val="2A2A2A"/>
          <w:kern w:val="0"/>
          <w:szCs w:val="22"/>
          <w:lang w:val="fr-FR" w:eastAsia="ja-JP"/>
          <w14:ligatures w14:val="none"/>
        </w:rPr>
        <w:t> : certaines personnes qui étudient ce livre arrivent à la conclusion que ces passages démontrent que les vrais croyants produiront de bonnes œuvres (C'est une garantie que les gens persévéreront, car la véritable foi qui sauve porte toujours ses fruits). Ainsi, ces phrases effrayantes montrent que ces croyants n’ont jamais été réellement sauvés. Vous verrez que cela sème la confusion, car certaines affirmations ne semblent avoir de sens que s’il s’adresse à des croyants.</w:t>
      </w:r>
    </w:p>
    <w:p w14:paraId="727034A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i/>
          <w:iCs/>
          <w:color w:val="2A2A2A"/>
          <w:kern w:val="0"/>
          <w:szCs w:val="22"/>
          <w:u w:val="single"/>
          <w:lang w:val="fr-FR" w:eastAsia="ja-JP"/>
          <w14:ligatures w14:val="none"/>
        </w:rPr>
        <w:t>Avertissement concernant la perte du salut</w:t>
      </w:r>
      <w:r w:rsidRPr="0005324A">
        <w:rPr>
          <w:rFonts w:ascii="Calibri" w:eastAsia="Tahoma" w:hAnsi="Calibri" w:cs="Arial"/>
          <w:color w:val="2A2A2A"/>
          <w:kern w:val="0"/>
          <w:szCs w:val="22"/>
          <w:lang w:val="fr-FR" w:eastAsia="ja-JP"/>
          <w14:ligatures w14:val="none"/>
        </w:rPr>
        <w:t xml:space="preserve"> : d'autres soutiennent que ces passages font référence aux croyants. Je suis d'accord. Mais ils commettent une erreur en disant que ces </w:t>
      </w:r>
      <w:r w:rsidRPr="0005324A">
        <w:rPr>
          <w:rFonts w:ascii="Calibri" w:eastAsia="Tahoma" w:hAnsi="Calibri" w:cs="Arial"/>
          <w:color w:val="2A2A2A"/>
          <w:kern w:val="0"/>
          <w:szCs w:val="22"/>
          <w:lang w:val="fr-FR" w:eastAsia="ja-JP"/>
          <w14:ligatures w14:val="none"/>
        </w:rPr>
        <w:lastRenderedPageBreak/>
        <w:t>passages montrent que les croyants peuvent perdre leur salut s'ils n'obéissent pas ou s'ils cessent d'avoir la foi.</w:t>
      </w:r>
    </w:p>
    <w:p w14:paraId="55A17CD4"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L'une ou l'autre de ces interprétations/compréhensions pourrait être correcte </w:t>
      </w:r>
      <w:r w:rsidRPr="0005324A">
        <w:rPr>
          <w:rFonts w:ascii="Calibri" w:eastAsia="Tahoma" w:hAnsi="Calibri" w:cs="Arial"/>
          <w:b/>
          <w:bCs/>
          <w:color w:val="2A2A2A"/>
          <w:kern w:val="0"/>
          <w:szCs w:val="22"/>
          <w:lang w:val="fr-FR" w:eastAsia="ja-JP"/>
          <w14:ligatures w14:val="none"/>
        </w:rPr>
        <w:t>SI</w:t>
      </w:r>
      <w:r w:rsidRPr="0005324A">
        <w:rPr>
          <w:rFonts w:ascii="Calibri" w:eastAsia="Tahoma" w:hAnsi="Calibri" w:cs="Arial"/>
          <w:color w:val="2A2A2A"/>
          <w:kern w:val="0"/>
          <w:szCs w:val="22"/>
          <w:lang w:val="fr-FR" w:eastAsia="ja-JP"/>
          <w14:ligatures w14:val="none"/>
        </w:rPr>
        <w:t xml:space="preserve"> ce livre traitait de la justification ou de la sécurité éternelle. Toutefois, je pense que l'auteur avait en tête un thème tout à fait différent lorsqu'il a rédigé cette lettre. Son thème est une marche de persévérance (ou de foi) pour obtenir un héritage encore plus grand.</w:t>
      </w:r>
    </w:p>
    <w:p w14:paraId="2F3EC2D5"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Je ne pense qu’aucune de ces deux positions trouve de soutien dans le texte de cette lettre, ni dans le Nouveau Testament en général.  </w:t>
      </w:r>
    </w:p>
    <w:p w14:paraId="15C53BD9" w14:textId="77777777" w:rsidR="0005324A" w:rsidRPr="0005324A" w:rsidRDefault="0005324A" w:rsidP="0005324A">
      <w:pPr>
        <w:keepNext/>
        <w:keepLines/>
        <w:pBdr>
          <w:top w:val="single" w:sz="24" w:space="18" w:color="2A2A2A"/>
        </w:pBdr>
        <w:spacing w:after="320"/>
        <w:contextualSpacing/>
        <w:outlineLvl w:val="1"/>
        <w:rPr>
          <w:rFonts w:ascii="Calibri" w:eastAsia="SimHei" w:hAnsi="Calibri" w:cs="Arial"/>
          <w:caps/>
          <w:color w:val="3B8DCD"/>
          <w:kern w:val="0"/>
          <w:sz w:val="38"/>
          <w:szCs w:val="26"/>
          <w:lang w:val="fr-FR" w:eastAsia="ja-JP"/>
          <w14:ligatures w14:val="none"/>
        </w:rPr>
      </w:pPr>
      <w:bookmarkStart w:id="14" w:name="_Toc226540384"/>
      <w:r w:rsidRPr="0005324A">
        <w:rPr>
          <w:rFonts w:ascii="Calibri" w:eastAsia="SimHei" w:hAnsi="Calibri" w:cs="Arial"/>
          <w:caps/>
          <w:color w:val="3B8DCD"/>
          <w:kern w:val="0"/>
          <w:sz w:val="38"/>
          <w:szCs w:val="26"/>
          <w:lang w:val="fr-FR" w:eastAsia="ja-JP"/>
          <w14:ligatures w14:val="none"/>
        </w:rPr>
        <w:t>Chapitre 1 :</w:t>
      </w:r>
      <w:bookmarkEnd w:id="14"/>
    </w:p>
    <w:p w14:paraId="4A95BED6"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15" w:name="_Toc226540385"/>
      <w:r w:rsidRPr="0005324A">
        <w:rPr>
          <w:rFonts w:ascii="Calibri" w:eastAsia="SimHei" w:hAnsi="Calibri" w:cs="Calibri"/>
          <w:b/>
          <w:color w:val="2A2A2A"/>
          <w:kern w:val="0"/>
          <w:sz w:val="28"/>
          <w:lang w:val="fr-FR" w:eastAsia="ja-JP"/>
          <w14:ligatures w14:val="none"/>
        </w:rPr>
        <w:t>Jésus est plus important que les prophètes (1.1–4).</w:t>
      </w:r>
      <w:bookmarkEnd w:id="15"/>
      <w:r w:rsidRPr="0005324A">
        <w:rPr>
          <w:rFonts w:ascii="Calibri" w:eastAsia="SimHei" w:hAnsi="Calibri" w:cs="Calibri"/>
          <w:b/>
          <w:color w:val="2A2A2A"/>
          <w:kern w:val="0"/>
          <w:sz w:val="28"/>
          <w:lang w:val="fr-FR" w:eastAsia="ja-JP"/>
          <w14:ligatures w14:val="none"/>
        </w:rPr>
        <w:t xml:space="preserve"> </w:t>
      </w:r>
    </w:p>
    <w:p w14:paraId="6DC6EAC3"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Plusieurs des thèmes abordés dans ces premiers versets sont repris plus loin dans la lettre. Certains sont traités en détail dans cette section. D'autres sont développés au fur et à mesure que le livre avance dans son argumentation. Les versets 1–4 forment une seule phrase en grec.</w:t>
      </w:r>
    </w:p>
    <w:p w14:paraId="03291E93"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Après avoir autrefois, à bien des reprises et de bien des manières, parlé aux pères par les prophètes, Dieu... » (1)</w:t>
      </w:r>
    </w:p>
    <w:p w14:paraId="5B8697E3"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Les prophètes comptaient parmi les hommes et les femmes les plus respectés de la religion juive. Ces personnes étaient les porte-parole de Dieu lui-même. On remarque tout de suite que l'auteur accorde une importance considérable à l'inspiration des Écritures. Il estime que les paroles des prophètes sont les paroles mêmes de Dieu. Dieu s'est simplement servi d'eux pour s'exprimer. Il s'agit là d'une affirmation que l'auditoire semble déjà approuver. Ce thème, selon lequel Dieu s'exprime à travers les autres, est présent tout au long du livre.</w:t>
      </w:r>
    </w:p>
    <w:p w14:paraId="557DB8E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Dieu s'est exprimé de multiples façons à travers de nombreuses personnes, depuis Abel. Si Dieu était resté silencieux, il n'y aurait jamais eu de Bible. Ce groupe connaissait les prophètes, il était familier avec l'Ancien Testament.</w:t>
      </w:r>
    </w:p>
    <w:p w14:paraId="532C6EA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 révélation de Dieu comportait deux parties. Premièrement, il s'est exprimé par l'intermédiaire des prophètes. Deuxièmement, il s'est exprimé par l'intermédiaire de son Fils.</w:t>
      </w:r>
    </w:p>
    <w:p w14:paraId="6A9E07F5"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…nous a parlé, en ces jours qui sont les derniers, par un Fils qu’il a constitué héritier de tout et par qui il a fait les mondes. » (2)</w:t>
      </w:r>
    </w:p>
    <w:p w14:paraId="4BA4358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Dieu a parlé. Cette révélation s'est faite progressivement. Il s'est exprimé tout au long de l'histoire par les prophètes, et il s'est exprimé en ces derniers jours par son Fils. Cette </w:t>
      </w:r>
      <w:r w:rsidRPr="0005324A">
        <w:rPr>
          <w:rFonts w:ascii="Calibri" w:eastAsia="Tahoma" w:hAnsi="Calibri" w:cs="Arial"/>
          <w:color w:val="2A2A2A"/>
          <w:kern w:val="0"/>
          <w:szCs w:val="22"/>
          <w:lang w:val="fr-FR" w:eastAsia="ja-JP"/>
          <w14:ligatures w14:val="none"/>
        </w:rPr>
        <w:lastRenderedPageBreak/>
        <w:t>progression va du moins digne au plus digne, du moins mature au plus mature. Des prophètes jusqu'au Christ, tous étaient la parole de Dieu.</w:t>
      </w:r>
    </w:p>
    <w:p w14:paraId="75A6F2C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Deux aspects de ce Fils le rendent unique : </w:t>
      </w:r>
    </w:p>
    <w:p w14:paraId="20BCC1F8" w14:textId="77777777" w:rsidR="0005324A" w:rsidRPr="0005324A" w:rsidRDefault="0005324A" w:rsidP="0005324A">
      <w:pPr>
        <w:numPr>
          <w:ilvl w:val="0"/>
          <w:numId w:val="21"/>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 hérite de tout. Il est l’héritier légitime de l’ensemble du royaume universel de Dieu. </w:t>
      </w:r>
    </w:p>
    <w:p w14:paraId="0469FC5F" w14:textId="77777777" w:rsidR="0005324A" w:rsidRPr="0005324A" w:rsidRDefault="0005324A" w:rsidP="0005324A">
      <w:pPr>
        <w:numPr>
          <w:ilvl w:val="0"/>
          <w:numId w:val="21"/>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 a été intimement associé à la création. C’est par le Fils que le Père a tout créé. </w:t>
      </w:r>
    </w:p>
    <w:p w14:paraId="7103819B" w14:textId="77777777" w:rsidR="0005324A" w:rsidRPr="0005324A" w:rsidRDefault="0005324A" w:rsidP="0005324A">
      <w:pPr>
        <w:ind w:left="720"/>
        <w:contextualSpacing/>
        <w:rPr>
          <w:rFonts w:ascii="Palatino" w:eastAsia="SimHei" w:hAnsi="Palatino" w:cs="Arial"/>
          <w:lang w:val="fr-FR"/>
        </w:rPr>
      </w:pPr>
    </w:p>
    <w:p w14:paraId="2E9000E2" w14:textId="77777777" w:rsidR="0005324A" w:rsidRPr="0005324A" w:rsidRDefault="0005324A" w:rsidP="0005324A">
      <w:pPr>
        <w:spacing w:after="200" w:line="312" w:lineRule="auto"/>
        <w:rPr>
          <w:rFonts w:ascii="Calibri" w:eastAsia="Tahoma" w:hAnsi="Calibri" w:cs="Arial"/>
          <w:color w:val="3B8DCD"/>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Ces deux thèmes sont présents tout au long du livre, en particulier le premier. Ce thème de l’héritage du Christ et de notre participation à cet héritage encadre une grande partie des discussions et des encouragements de toute la lettre. </w:t>
      </w:r>
      <w:r w:rsidRPr="0005324A">
        <w:rPr>
          <w:rFonts w:ascii="Calibri" w:eastAsia="Tahoma" w:hAnsi="Calibri" w:cs="Arial"/>
          <w:color w:val="3B8DCD"/>
          <w:kern w:val="0"/>
          <w:szCs w:val="22"/>
          <w:lang w:val="fr-FR" w:eastAsia="ja-JP"/>
          <w14:ligatures w14:val="none"/>
        </w:rPr>
        <w:t xml:space="preserve">« Puisque celui qui pour qui et par qui </w:t>
      </w:r>
      <w:r w:rsidRPr="0005324A">
        <w:rPr>
          <w:rFonts w:ascii="Calibri" w:eastAsia="Tahoma" w:hAnsi="Calibri" w:cs="Arial"/>
          <w:color w:val="3B8DCD"/>
          <w:kern w:val="0"/>
          <w:szCs w:val="22"/>
          <w:u w:val="single"/>
          <w:lang w:val="fr-FR" w:eastAsia="ja-JP"/>
          <w14:ligatures w14:val="none"/>
        </w:rPr>
        <w:t>tout existe</w:t>
      </w:r>
      <w:r w:rsidRPr="0005324A">
        <w:rPr>
          <w:rFonts w:ascii="Calibri" w:eastAsia="Tahoma" w:hAnsi="Calibri" w:cs="Arial"/>
          <w:color w:val="3B8DCD"/>
          <w:kern w:val="0"/>
          <w:szCs w:val="22"/>
          <w:lang w:val="fr-FR" w:eastAsia="ja-JP"/>
          <w14:ligatures w14:val="none"/>
        </w:rPr>
        <w:t xml:space="preserve"> </w:t>
      </w:r>
      <w:r w:rsidRPr="0005324A">
        <w:rPr>
          <w:rFonts w:ascii="Calibri" w:eastAsia="Tahoma" w:hAnsi="Calibri" w:cs="Arial"/>
          <w:b/>
          <w:bCs/>
          <w:color w:val="3B8DCD"/>
          <w:kern w:val="0"/>
          <w:szCs w:val="22"/>
          <w:lang w:val="fr-FR" w:eastAsia="ja-JP"/>
          <w14:ligatures w14:val="none"/>
        </w:rPr>
        <w:t>voulait conduire beaucoup de fils à la gloire</w:t>
      </w:r>
      <w:r w:rsidRPr="0005324A">
        <w:rPr>
          <w:rFonts w:ascii="Calibri" w:eastAsia="Tahoma" w:hAnsi="Calibri" w:cs="Arial"/>
          <w:color w:val="3B8DCD"/>
          <w:kern w:val="0"/>
          <w:szCs w:val="22"/>
          <w:lang w:val="fr-FR" w:eastAsia="ja-JP"/>
          <w14:ligatures w14:val="none"/>
        </w:rPr>
        <w:t xml:space="preserve">… » (2.10). </w:t>
      </w:r>
      <w:r w:rsidRPr="0005324A">
        <w:rPr>
          <w:rFonts w:ascii="Calibri" w:eastAsia="Tahoma" w:hAnsi="Calibri" w:cs="Arial"/>
          <w:kern w:val="0"/>
          <w:szCs w:val="22"/>
          <w:lang w:val="fr-FR" w:eastAsia="ja-JP"/>
          <w14:ligatures w14:val="none"/>
        </w:rPr>
        <w:t>C'est magnifique que le commencement et la fin soient tous deux évoqués avec le Christ au centre. Il était au cœur de tout cela au commencement, et il sera au cœur de tout cela à la fin.</w:t>
      </w:r>
    </w:p>
    <w:p w14:paraId="657EB564"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Notez les contrastes ici : </w:t>
      </w:r>
    </w:p>
    <w:tbl>
      <w:tblPr>
        <w:tblStyle w:val="PlainTable11"/>
        <w:tblW w:w="0" w:type="auto"/>
        <w:tblLook w:val="04A0" w:firstRow="1" w:lastRow="0" w:firstColumn="1" w:lastColumn="0" w:noHBand="0" w:noVBand="1"/>
      </w:tblPr>
      <w:tblGrid>
        <w:gridCol w:w="4683"/>
        <w:gridCol w:w="4667"/>
      </w:tblGrid>
      <w:tr w:rsidR="0005324A" w:rsidRPr="0005324A" w14:paraId="48DB746A" w14:textId="77777777" w:rsidTr="00945F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Pr>
          <w:p w14:paraId="4901AE9F" w14:textId="77777777" w:rsidR="0005324A" w:rsidRPr="0005324A" w:rsidRDefault="0005324A" w:rsidP="0005324A">
            <w:pPr>
              <w:rPr>
                <w:rFonts w:ascii="Calibri" w:hAnsi="Calibri" w:cs="Arial"/>
                <w:lang w:val="fr-FR"/>
              </w:rPr>
            </w:pPr>
            <w:r w:rsidRPr="0005324A">
              <w:rPr>
                <w:rFonts w:ascii="Calibri" w:hAnsi="Calibri" w:cs="Arial"/>
                <w:lang w:val="fr-FR"/>
              </w:rPr>
              <w:t>Après avoir autrefois</w:t>
            </w:r>
          </w:p>
        </w:tc>
        <w:tc>
          <w:tcPr>
            <w:tcW w:w="5040" w:type="dxa"/>
          </w:tcPr>
          <w:p w14:paraId="6094D5D0" w14:textId="77777777" w:rsidR="0005324A" w:rsidRPr="0005324A" w:rsidRDefault="0005324A" w:rsidP="0005324A">
            <w:pPr>
              <w:cnfStyle w:val="100000000000" w:firstRow="1" w:lastRow="0" w:firstColumn="0" w:lastColumn="0" w:oddVBand="0" w:evenVBand="0" w:oddHBand="0" w:evenHBand="0" w:firstRowFirstColumn="0" w:firstRowLastColumn="0" w:lastRowFirstColumn="0" w:lastRowLastColumn="0"/>
              <w:rPr>
                <w:rFonts w:ascii="Calibri" w:hAnsi="Calibri" w:cs="Arial"/>
                <w:lang w:val="fr-FR"/>
              </w:rPr>
            </w:pPr>
            <w:r w:rsidRPr="0005324A">
              <w:rPr>
                <w:rFonts w:ascii="Calibri" w:hAnsi="Calibri" w:cs="Arial"/>
                <w:lang w:val="fr-FR"/>
              </w:rPr>
              <w:t>En ces jours qui sont les derniers</w:t>
            </w:r>
          </w:p>
        </w:tc>
      </w:tr>
      <w:tr w:rsidR="0005324A" w:rsidRPr="0005324A" w14:paraId="4E1A4987" w14:textId="77777777" w:rsidTr="00945F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Pr>
          <w:p w14:paraId="260DD6E8" w14:textId="77777777" w:rsidR="0005324A" w:rsidRPr="0005324A" w:rsidRDefault="0005324A" w:rsidP="0005324A">
            <w:pPr>
              <w:rPr>
                <w:rFonts w:ascii="Calibri" w:hAnsi="Calibri" w:cs="Arial"/>
                <w:lang w:val="fr-FR"/>
              </w:rPr>
            </w:pPr>
            <w:r w:rsidRPr="0005324A">
              <w:rPr>
                <w:rFonts w:ascii="Calibri" w:hAnsi="Calibri" w:cs="Arial"/>
                <w:lang w:val="fr-FR"/>
              </w:rPr>
              <w:t>A bien des reprises et de bien des manières</w:t>
            </w:r>
          </w:p>
        </w:tc>
        <w:tc>
          <w:tcPr>
            <w:tcW w:w="5040" w:type="dxa"/>
          </w:tcPr>
          <w:p w14:paraId="7BFA584C" w14:textId="77777777" w:rsidR="0005324A" w:rsidRPr="0005324A" w:rsidRDefault="0005324A" w:rsidP="0005324A">
            <w:pPr>
              <w:cnfStyle w:val="000000100000" w:firstRow="0" w:lastRow="0" w:firstColumn="0" w:lastColumn="0" w:oddVBand="0" w:evenVBand="0" w:oddHBand="1" w:evenHBand="0" w:firstRowFirstColumn="0" w:firstRowLastColumn="0" w:lastRowFirstColumn="0" w:lastRowLastColumn="0"/>
              <w:rPr>
                <w:rFonts w:ascii="Calibri" w:hAnsi="Calibri" w:cs="Arial"/>
                <w:lang w:val="fr-FR"/>
              </w:rPr>
            </w:pPr>
            <w:r w:rsidRPr="0005324A">
              <w:rPr>
                <w:rFonts w:ascii="Calibri" w:hAnsi="Calibri" w:cs="Arial"/>
                <w:lang w:val="fr-FR"/>
              </w:rPr>
              <w:t>Par un Fils (une seule fois)</w:t>
            </w:r>
          </w:p>
        </w:tc>
      </w:tr>
      <w:tr w:rsidR="0005324A" w:rsidRPr="0005324A" w14:paraId="2A657F14" w14:textId="77777777" w:rsidTr="00945F0F">
        <w:trPr>
          <w:trHeight w:val="83"/>
        </w:trPr>
        <w:tc>
          <w:tcPr>
            <w:cnfStyle w:val="001000000000" w:firstRow="0" w:lastRow="0" w:firstColumn="1" w:lastColumn="0" w:oddVBand="0" w:evenVBand="0" w:oddHBand="0" w:evenHBand="0" w:firstRowFirstColumn="0" w:firstRowLastColumn="0" w:lastRowFirstColumn="0" w:lastRowLastColumn="0"/>
            <w:tcW w:w="5040" w:type="dxa"/>
          </w:tcPr>
          <w:p w14:paraId="6183ABDD" w14:textId="77777777" w:rsidR="0005324A" w:rsidRPr="0005324A" w:rsidRDefault="0005324A" w:rsidP="0005324A">
            <w:pPr>
              <w:rPr>
                <w:rFonts w:ascii="Calibri" w:hAnsi="Calibri" w:cs="Arial"/>
                <w:lang w:val="fr-FR"/>
              </w:rPr>
            </w:pPr>
            <w:r w:rsidRPr="0005324A">
              <w:rPr>
                <w:rFonts w:ascii="Calibri" w:hAnsi="Calibri" w:cs="Arial"/>
                <w:lang w:val="fr-FR"/>
              </w:rPr>
              <w:t>Parlé aux pères</w:t>
            </w:r>
          </w:p>
        </w:tc>
        <w:tc>
          <w:tcPr>
            <w:tcW w:w="5040" w:type="dxa"/>
          </w:tcPr>
          <w:p w14:paraId="136525BD" w14:textId="77777777" w:rsidR="0005324A" w:rsidRPr="0005324A" w:rsidRDefault="0005324A" w:rsidP="0005324A">
            <w:pPr>
              <w:cnfStyle w:val="000000000000" w:firstRow="0" w:lastRow="0" w:firstColumn="0" w:lastColumn="0" w:oddVBand="0" w:evenVBand="0" w:oddHBand="0" w:evenHBand="0" w:firstRowFirstColumn="0" w:firstRowLastColumn="0" w:lastRowFirstColumn="0" w:lastRowLastColumn="0"/>
              <w:rPr>
                <w:rFonts w:ascii="Calibri" w:hAnsi="Calibri" w:cs="Arial"/>
                <w:lang w:val="fr-FR"/>
              </w:rPr>
            </w:pPr>
            <w:r w:rsidRPr="0005324A">
              <w:rPr>
                <w:rFonts w:ascii="Calibri" w:hAnsi="Calibri" w:cs="Arial"/>
                <w:lang w:val="fr-FR"/>
              </w:rPr>
              <w:t>Dieu nous a parlé</w:t>
            </w:r>
          </w:p>
        </w:tc>
      </w:tr>
      <w:tr w:rsidR="0005324A" w:rsidRPr="0005324A" w14:paraId="22AE1CC7" w14:textId="77777777" w:rsidTr="00945F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Pr>
          <w:p w14:paraId="12C8FDAE" w14:textId="77777777" w:rsidR="0005324A" w:rsidRPr="0005324A" w:rsidRDefault="0005324A" w:rsidP="0005324A">
            <w:pPr>
              <w:rPr>
                <w:rFonts w:ascii="Calibri" w:hAnsi="Calibri" w:cs="Arial"/>
                <w:lang w:val="fr-FR"/>
              </w:rPr>
            </w:pPr>
            <w:r w:rsidRPr="0005324A">
              <w:rPr>
                <w:rFonts w:ascii="Calibri" w:hAnsi="Calibri" w:cs="Arial"/>
                <w:lang w:val="fr-FR"/>
              </w:rPr>
              <w:t>Par les prophètes</w:t>
            </w:r>
          </w:p>
        </w:tc>
        <w:tc>
          <w:tcPr>
            <w:tcW w:w="5040" w:type="dxa"/>
          </w:tcPr>
          <w:p w14:paraId="43B8C6C4" w14:textId="77777777" w:rsidR="0005324A" w:rsidRPr="0005324A" w:rsidRDefault="0005324A" w:rsidP="0005324A">
            <w:pPr>
              <w:cnfStyle w:val="000000100000" w:firstRow="0" w:lastRow="0" w:firstColumn="0" w:lastColumn="0" w:oddVBand="0" w:evenVBand="0" w:oddHBand="1" w:evenHBand="0" w:firstRowFirstColumn="0" w:firstRowLastColumn="0" w:lastRowFirstColumn="0" w:lastRowLastColumn="0"/>
              <w:rPr>
                <w:rFonts w:ascii="Calibri" w:hAnsi="Calibri" w:cs="Arial"/>
                <w:lang w:val="fr-FR"/>
              </w:rPr>
            </w:pPr>
            <w:r w:rsidRPr="0005324A">
              <w:rPr>
                <w:rFonts w:ascii="Calibri" w:hAnsi="Calibri" w:cs="Arial"/>
                <w:lang w:val="fr-FR"/>
              </w:rPr>
              <w:t>Par un Fils</w:t>
            </w:r>
          </w:p>
        </w:tc>
      </w:tr>
    </w:tbl>
    <w:p w14:paraId="0C92D464"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 En ces jours qui sont les derniers » - Cette formulation a conduit beaucoup de gens à croire que ce passage fait en réalité référence à la fin des temps. L'expression « ces derniers jours » est souvent utilisée pour décrire la fin des temps. Mais cela ne semble pas être le cas dans ce contexte. Mais il semble s'agir d'une référence à la période entre la mort du Christ (au moment où ces choses ont commencé) et l'établissement de son royaume, lorsque tout sera parfait. Ainsi, ces derniers jours font ici référence à toute cette époque. Cela semble aussi impliquer que la révélation finale de Dieu s'est faite par le Fils, puisqu'il s'est finalement exprimé par le Fils pendant toute cette période.  </w:t>
      </w:r>
    </w:p>
    <w:p w14:paraId="77EAA87D"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Ce Fils, qui est le rayonnement de sa gloire et l’expression de sa réalité même, soutient tout par sa parole puissante, après avoir fait la purification des péchés, il s’est assis à la droite de la majesté dans les hauteurs, devenu d’autant supérieur aux anges qu’il a hérité un nom plus remarquable que le leur. » (3–4)</w:t>
      </w:r>
    </w:p>
    <w:p w14:paraId="004EAB0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Ce Fils est le reflet de la gloire du Père. Il est l'image parfaite de tout ce qu'est le Père. Il est l'expression parfaite de tout ce qu'est le Père. Contrairement aux prophètes, qui n'étaient que de simples êtres humains, le Christ était Dieu lui-même. À tous égards, il est exactement </w:t>
      </w:r>
      <w:r w:rsidRPr="0005324A">
        <w:rPr>
          <w:rFonts w:ascii="Calibri" w:eastAsia="Tahoma" w:hAnsi="Calibri" w:cs="Arial"/>
          <w:color w:val="2A2A2A"/>
          <w:kern w:val="0"/>
          <w:szCs w:val="22"/>
          <w:lang w:val="fr-FR" w:eastAsia="ja-JP"/>
          <w14:ligatures w14:val="none"/>
        </w:rPr>
        <w:lastRenderedPageBreak/>
        <w:t>comme le Père. Sa nature profonde est identique à celle de Dieu. Il a la même nature que Dieu, et il en exprime fidèlement l'essence.</w:t>
      </w:r>
    </w:p>
    <w:p w14:paraId="65045A33"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Non seulement ce Fils est tout cela, ce qui le rend bien supérieur aux prophètes, mais il est aussi celui qui soutient toute la création. C'est lui qui l'a créée, et c'est lui qui la soutient. Cela met en évidence la puissance de sa parole. Il est donc la Parole : sa parole a tout créé, et sa parole soutient tout. Il était ainsi avant la croix, et il est toujours ainsi après la croix.</w:t>
      </w:r>
    </w:p>
    <w:p w14:paraId="73053FE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 seconde partie de ce verset (3) est importante. Ce rôle du Christ s'est accompli sur la croix, lorsqu'il est mort en sacrifice. Le Christ est aussi notre prêtre. Ce sera là un autre thème récurrent dans cette lettre. Il a offert un sacrifice qui a permis la purification du péché pour ceux qui croient. Ce sacrifice a été fait une seule fois. Il est déjà accompli. Il est achevé. Il ne manque plus rien pour mener à bien le sacrifice nécessaire à la purification des hommes. Sa mort a suffi.</w:t>
      </w:r>
    </w:p>
    <w:p w14:paraId="2B706B7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Contrairement aux prêtres de l'Ancien Testament, le Christ peut s'asseoir pour deux raisons. </w:t>
      </w:r>
    </w:p>
    <w:p w14:paraId="12D6734B" w14:textId="77777777" w:rsidR="0005324A" w:rsidRPr="0005324A" w:rsidRDefault="0005324A" w:rsidP="0005324A">
      <w:pPr>
        <w:numPr>
          <w:ilvl w:val="0"/>
          <w:numId w:val="22"/>
        </w:numPr>
        <w:spacing w:after="200" w:line="312" w:lineRule="auto"/>
        <w:contextualSpacing/>
        <w:rPr>
          <w:rFonts w:ascii="Calibri" w:eastAsia="SimHei" w:hAnsi="Calibri" w:cs="Calibri"/>
          <w:lang w:val="fr-FR"/>
        </w:rPr>
      </w:pPr>
      <w:r w:rsidRPr="0005324A">
        <w:rPr>
          <w:rFonts w:ascii="Calibri" w:eastAsia="SimHei" w:hAnsi="Calibri" w:cs="Calibri"/>
          <w:lang w:val="fr-FR"/>
        </w:rPr>
        <w:t>Son œuvre de prêtre est achevée. Il y a plus besoin de sacrifice. C'est un autre sujet mentionné à plusieurs reprises dans cette lettre.</w:t>
      </w:r>
    </w:p>
    <w:p w14:paraId="4811C249" w14:textId="77777777" w:rsidR="0005324A" w:rsidRPr="0005324A" w:rsidRDefault="0005324A" w:rsidP="0005324A">
      <w:pPr>
        <w:numPr>
          <w:ilvl w:val="0"/>
          <w:numId w:val="22"/>
        </w:numPr>
        <w:spacing w:after="200" w:line="312" w:lineRule="auto"/>
        <w:contextualSpacing/>
        <w:rPr>
          <w:rFonts w:ascii="Palatino" w:eastAsia="SimHei" w:hAnsi="Palatino" w:cs="Arial"/>
          <w:lang w:val="fr-FR"/>
        </w:rPr>
      </w:pPr>
      <w:r w:rsidRPr="0005324A">
        <w:rPr>
          <w:rFonts w:ascii="Calibri" w:eastAsia="SimHei" w:hAnsi="Calibri" w:cs="Calibri"/>
          <w:lang w:val="fr-FR"/>
        </w:rPr>
        <w:t>Il est assis à la droite du Père. C'est un poste qui confère une grande autorité et un grand honneur.</w:t>
      </w:r>
    </w:p>
    <w:p w14:paraId="6C5753A4" w14:textId="77777777" w:rsidR="0005324A" w:rsidRPr="0005324A" w:rsidRDefault="0005324A" w:rsidP="0005324A">
      <w:pPr>
        <w:ind w:left="720"/>
        <w:contextualSpacing/>
        <w:rPr>
          <w:rFonts w:ascii="Palatino" w:eastAsia="SimHei" w:hAnsi="Palatino" w:cs="Arial"/>
          <w:lang w:val="fr-FR"/>
        </w:rPr>
      </w:pPr>
    </w:p>
    <w:p w14:paraId="6D30B4B5" w14:textId="77777777" w:rsidR="0005324A" w:rsidRPr="0005324A" w:rsidRDefault="0005324A" w:rsidP="0005324A">
      <w:pPr>
        <w:autoSpaceDE w:val="0"/>
        <w:autoSpaceDN w:val="0"/>
        <w:adjustRightInd w:val="0"/>
        <w:rPr>
          <w:rFonts w:ascii="Calibri" w:eastAsia="Tahoma" w:hAnsi="Calibri" w:cs="Calibri"/>
          <w:color w:val="2A2A2A"/>
          <w:kern w:val="0"/>
          <w:lang w:val="fr-FR" w:eastAsia="ja-JP"/>
          <w14:ligatures w14:val="none"/>
        </w:rPr>
      </w:pPr>
      <w:r w:rsidRPr="0005324A">
        <w:rPr>
          <w:rFonts w:ascii="Calibri" w:eastAsia="Tahoma" w:hAnsi="Calibri" w:cs="Calibri"/>
          <w:color w:val="2A2A2A"/>
          <w:kern w:val="0"/>
          <w:lang w:val="fr-FR" w:eastAsia="ja-JP"/>
          <w14:ligatures w14:val="none"/>
        </w:rPr>
        <w:t xml:space="preserve">Il s'agit là d'une référence directe et délibérée au Psaume 110, un psaume prophétique consacré au Messie. </w:t>
      </w:r>
      <w:r w:rsidRPr="0005324A">
        <w:rPr>
          <w:rFonts w:ascii="Calibri" w:eastAsia="Tahoma" w:hAnsi="Calibri" w:cs="Calibri"/>
          <w:color w:val="3B8DCD"/>
          <w:kern w:val="0"/>
          <w:lang w:val="fr-FR" w:eastAsia="ja-JP"/>
          <w14:ligatures w14:val="none"/>
        </w:rPr>
        <w:t xml:space="preserve">« Viens siéger à ma droite jusqu’à ce que j’aie mis tes ennemis à terre sous tes pieds » (Ps 110.1).  </w:t>
      </w:r>
      <w:r w:rsidRPr="0005324A">
        <w:rPr>
          <w:rFonts w:ascii="Calibri" w:eastAsia="Tahoma" w:hAnsi="Calibri" w:cs="Calibri"/>
          <w:color w:val="2A2A2A"/>
          <w:kern w:val="0"/>
          <w:lang w:val="fr-FR" w:eastAsia="ja-JP"/>
          <w14:ligatures w14:val="none"/>
        </w:rPr>
        <w:t>Il y a beaucoup de choses sous-entendues ici. En tant que juge, le Père a été satisfait et pleinement satisfait d'accepter ce sacrifice. Le Fils est parfaitement placé pour nous représenter et nous venir en aide.</w:t>
      </w:r>
    </w:p>
    <w:p w14:paraId="009186C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69ED5AD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Grâce à cette nouvelle position, il est bien supérieur aux prophètes et bien supérieur aux anges. Les Juifs aimaient les anges. Dans la tradition juive, les anges étaient des messagers, des aides, des guides et souvent des libérateurs du peuple de Dieu. Mais ce que les croyants ont en Christ est bien meilleur que ces anges.</w:t>
      </w:r>
      <w:r w:rsidRPr="0005324A">
        <w:rPr>
          <w:rFonts w:ascii="Calibri" w:eastAsia="Tahoma" w:hAnsi="Calibri" w:cs="Arial"/>
          <w:color w:val="2A2A2A"/>
          <w:kern w:val="0"/>
          <w:szCs w:val="22"/>
          <w:vertAlign w:val="superscript"/>
          <w:lang w:val="fr-FR" w:eastAsia="ja-JP"/>
          <w14:ligatures w14:val="none"/>
        </w:rPr>
        <w:footnoteReference w:id="12"/>
      </w:r>
      <w:r w:rsidRPr="0005324A">
        <w:rPr>
          <w:rFonts w:ascii="Calibri" w:eastAsia="Tahoma" w:hAnsi="Calibri" w:cs="Arial"/>
          <w:color w:val="2A2A2A"/>
          <w:kern w:val="0"/>
          <w:szCs w:val="22"/>
          <w:lang w:val="fr-FR" w:eastAsia="ja-JP"/>
          <w14:ligatures w14:val="none"/>
        </w:rPr>
        <w:t xml:space="preserve"> Le Christ a reçu un nom supérieur à celui des anges. Une fois encore, l'héritage du Christ est évoqué ici. Il hérite de tout, et une partie de cet héritage est un nom, ou une position d'honneur, supérieur au plus grand de la création de Dieu.</w:t>
      </w:r>
    </w:p>
    <w:p w14:paraId="51C2A0F4" w14:textId="77777777" w:rsidR="0005324A" w:rsidRPr="0005324A" w:rsidRDefault="0005324A" w:rsidP="0005324A">
      <w:pPr>
        <w:keepNext/>
        <w:keepLines/>
        <w:spacing w:after="320"/>
        <w:contextualSpacing/>
        <w:outlineLvl w:val="2"/>
        <w:rPr>
          <w:rFonts w:ascii="Calibri" w:eastAsia="SimHei" w:hAnsi="Calibri" w:cs="Calibri"/>
          <w:b/>
          <w:color w:val="2A2A2A"/>
          <w:kern w:val="0"/>
          <w:sz w:val="28"/>
          <w:lang w:val="fr-FR" w:eastAsia="ja-JP"/>
          <w14:ligatures w14:val="none"/>
        </w:rPr>
      </w:pPr>
      <w:bookmarkStart w:id="16" w:name="_Toc226540386"/>
      <w:r w:rsidRPr="0005324A">
        <w:rPr>
          <w:rFonts w:ascii="Calibri" w:eastAsia="SimHei" w:hAnsi="Calibri" w:cs="Calibri"/>
          <w:b/>
          <w:color w:val="2A2A2A"/>
          <w:kern w:val="0"/>
          <w:sz w:val="28"/>
          <w:lang w:val="fr-FR" w:eastAsia="ja-JP"/>
          <w14:ligatures w14:val="none"/>
        </w:rPr>
        <w:lastRenderedPageBreak/>
        <w:t>Jésus est plus important que les anges (1.5–14).</w:t>
      </w:r>
      <w:bookmarkEnd w:id="16"/>
      <w:r w:rsidRPr="0005324A">
        <w:rPr>
          <w:rFonts w:ascii="Calibri" w:eastAsia="SimHei" w:hAnsi="Calibri" w:cs="Calibri"/>
          <w:b/>
          <w:color w:val="2A2A2A"/>
          <w:kern w:val="0"/>
          <w:sz w:val="28"/>
          <w:lang w:val="fr-FR" w:eastAsia="ja-JP"/>
          <w14:ligatures w14:val="none"/>
        </w:rPr>
        <w:t xml:space="preserve"> </w:t>
      </w:r>
    </w:p>
    <w:p w14:paraId="32A59472"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Auquel des anges, en effet, Dieu a-t-il jamais dit : tu es mon Fils, c’est moi qui t’ai engendré aujourd’hui. Et encore : Moi, je serai pour lui un Père, et lui sera pour moi un Fils. » (5)</w:t>
      </w:r>
    </w:p>
    <w:p w14:paraId="153CB12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Voici la première vraie citation de l'Ancien Testament qu'on trouve dans ce livre, bien qu'il ait déjà fait référence à un autre psaume. Celle-ci est tirée du Psaume 2, avec une référence à 2 Samuel 7.14. Le Psaume 2 est un chant qui exprime le conflit entre les rois de la terre et Dieu, et annonce que le roi qu'Il a choisi héritera du monde entier (Ps 2.8). </w:t>
      </w:r>
      <w:r w:rsidRPr="0005324A">
        <w:rPr>
          <w:rFonts w:ascii="Calibri" w:eastAsia="Tahoma" w:hAnsi="Calibri" w:cs="Arial"/>
          <w:color w:val="3B8DCD"/>
          <w:kern w:val="0"/>
          <w:szCs w:val="22"/>
          <w:lang w:val="fr-FR" w:eastAsia="ja-JP"/>
          <w14:ligatures w14:val="none"/>
        </w:rPr>
        <w:t>Il m’a dit : « Tu es mon Fils ; aujourd’hui, je fais de toi mon enfant. » (Ps 2.7)</w:t>
      </w:r>
    </w:p>
    <w:p w14:paraId="546519E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L'auteur ne cherche pas à dire que Dieu a créé le fils, comme beaucoup l'ont conclu à tort. Le Christ est né en ce sens qu'il est ressuscité et qu'il est devenu le premier-né parmi beaucoup de frères. Son argument repose ici sur deux points. 1) Le Fils a une relation extrêmement unique et particulière avec le Père. 2) Le Fils a reçu une position bien supérieure à celle des anges. C'est le roi choisi par le Père.</w:t>
      </w:r>
    </w:p>
    <w:p w14:paraId="459FB2F8"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Et encore, quand il introduit le premier-né dans le monde, il dit : Que tous les anges de Dieu se prosternent devant lui ! » (6)</w:t>
      </w:r>
    </w:p>
    <w:p w14:paraId="1AA1BE32"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Le Père fait naître à nouveau le Fils dans ce monde ; cela fait très probablement référence à sa seconde venue. Lorsque le Christ reviendra, « Que tous les "dieux" devant lui se prosternent » (Ps 97.7). Dans la version en hébreu, ce passage utilise le mot « dieux ». Cependant, la version grecque de ce psaume utilise le mot « anges », et non « dieux ». L'auteur cite la traduction grecque du psaume. </w:t>
      </w:r>
    </w:p>
    <w:p w14:paraId="4A0A3F6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Mais ce qu'il veut dire, c'est que tous les anges se prosterneront, adoreront et serviront le Christ lorsqu'il prendra son trône à Jérusalem. Non seulement Jésus est supérieur, mais nous verrons dans un instant que cela a des implications très concrètes pour les croyants, puisque nous partagerons son héritage dans son royaume. </w:t>
      </w:r>
    </w:p>
    <w:p w14:paraId="063052CE"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Pour les anges, il dit : il fait de ses anges des esprits (ou les vents), de ses serviteurs un feu flamboyant. » (7)</w:t>
      </w:r>
    </w:p>
    <w:p w14:paraId="06E5554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Voici une autre citation tirée des Psaumes. Elle est tirée du Psaume 104. </w:t>
      </w:r>
      <w:r w:rsidRPr="0005324A">
        <w:rPr>
          <w:rFonts w:ascii="Calibri" w:eastAsia="Tahoma" w:hAnsi="Calibri" w:cs="Arial"/>
          <w:color w:val="3B8DCD"/>
          <w:kern w:val="0"/>
          <w:szCs w:val="22"/>
          <w:lang w:val="fr-FR" w:eastAsia="ja-JP"/>
          <w14:ligatures w14:val="none"/>
        </w:rPr>
        <w:t xml:space="preserve">« Tu fais des vents tes messagers, les éclairs étincelants sont tes serviteurs » (104.4). </w:t>
      </w:r>
      <w:r w:rsidRPr="0005324A">
        <w:rPr>
          <w:rFonts w:ascii="Calibri" w:eastAsia="Tahoma" w:hAnsi="Calibri" w:cs="Arial"/>
          <w:color w:val="2A2A2A"/>
          <w:kern w:val="0"/>
          <w:szCs w:val="22"/>
          <w:lang w:val="fr-FR" w:eastAsia="ja-JP"/>
          <w14:ligatures w14:val="none"/>
        </w:rPr>
        <w:t xml:space="preserve">Le mot désignant ici les vents peut aussi être traduit par « esprits ». C'est peut-être ce qui explique la différence de traduction dans ce passage. </w:t>
      </w:r>
    </w:p>
    <w:p w14:paraId="270506E5"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Les anges sont au service de Dieu, que ce roi décrit comme le roi de l'univers. Il règne sur toute la création. Les anges sont à son service ; il les envoie comme messagers. Il les envoie comme serviteurs pour accomplir ses desseins.</w:t>
      </w:r>
    </w:p>
    <w:p w14:paraId="06E635F8"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lastRenderedPageBreak/>
        <w:t>« Mais pour le Fils : Ton trône, ô Dieu, est établis pour toujours, le sceptre de ton règne est un sceptre d’équité. Tu as aimé la justice et tu as détesté le mal ; c’est pourquoi, ô Dieu, ton Dieu t’a conféré une onction d’huile d’allégresse, à toi plus qu’à tes compagnons. » (8–9)</w:t>
      </w:r>
    </w:p>
    <w:p w14:paraId="48B1161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Il semble qu'il s'agisse là encore d'une citation tirée des Psaumes, cette fois du Psaume 45.6–7. Le Psaume 45 est un chant d'amour qui raconte l'histoire d'un homme (le roi) et d'une femme qui se marient. Il a été composé par les fils de Coré. Mais au cœur de ce psaume se trouve ce magnifique chant d'adoration adressé au Père, ce psaume décrit aussi les responsabilités de ce roi envers Dieu.</w:t>
      </w:r>
    </w:p>
    <w:p w14:paraId="4CA9C753"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Dans ce passage, le trône est d’abord attribué au Père. Mais l’auteur de la lettre aux Hébreux affirme que ce trône est celui du Fils. Non seulement ce trône est éternel, mais le Fils y règne en tant que Dieu. Jésus règne dans la justice et équité. Le Christ remplit parfaitement ce rôle de roi juste. Il aime la justice et déteste le mal. C’est pour cette raison que le Fils reçoit le pouvoir de régner, symbolisé par l’onction de l’huile de joie. C'est une célébration de sa personnalité et de sa dignité à régner sur le trône de Dieu.</w:t>
      </w:r>
    </w:p>
    <w:p w14:paraId="285099DD"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Ce qui est intéressant, c’est que ce roi juste bénéficie de cette onction, mais d’autres personnes dans le même contexte la reçoivent aussi. Jésus en fait davantage l’expérience que ses compagnons, mais ceux-ci y participent tout de même dans une certaine mesure. C’est essentiel pour notre compréhension du livre. Qui sont ces compagnons dans cette lettre ? Ceux qui ont la chance de partager sa gloire, son honneur et de régner avec lui. Ceux qui ont la chance de partager son héritage. On reviendra sur ce thème dans un instant, mais il est clair qu’il continue à développer cette idée (un héritage partagé). </w:t>
      </w:r>
    </w:p>
    <w:p w14:paraId="372B7D8A"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Et encore : C’est toi, Seigneur, qui as fondé la terre au commencement, et les cieux sont l’ouvrage de tes mains ; ils disparaîtront, mais toi, tu demeures ; ils s’useront tous comme un vêtement ; tu les rouleras comme un habit, et ils seront changés comme un vêtement, mais toi, tu es le même, et tes années ne finiront pas. » (10–12)</w:t>
      </w:r>
    </w:p>
    <w:p w14:paraId="1A7BF133"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C'est encore le Père qui s'adresse au Fils. Que dit-il de lui ici ? Il cite le Psaume 102.25-27. Il s'agit d'un psaume écrit par un homme qui ressent le conflit entre ce qu'il vit et la nature de Dieu. Tout au long de ce chapitre, il décrit Dieu comme quelqu'un qui se tient bien au-dessus de la création. Les générations passent, mais Dieu reste le même pour toujours. </w:t>
      </w:r>
    </w:p>
    <w:p w14:paraId="1FE0F1B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De la même manière, les générations passent, mais Jésus reste le même pour toujours. Les choses les plus durables de notre monde (les montagnes, le ciel, la terre) sont usées et fatiguées avant même que le Christ ne montre des signes de son âge. C’est là tout le contraste. </w:t>
      </w:r>
      <w:r w:rsidRPr="0005324A">
        <w:rPr>
          <w:rFonts w:ascii="Calibri" w:eastAsia="Tahoma" w:hAnsi="Calibri" w:cs="Arial"/>
          <w:color w:val="2A2A2A"/>
          <w:kern w:val="0"/>
          <w:szCs w:val="22"/>
          <w:lang w:val="fr-FR" w:eastAsia="ja-JP"/>
          <w14:ligatures w14:val="none"/>
        </w:rPr>
        <w:lastRenderedPageBreak/>
        <w:t>Il est inchangeable, tout comme Dieu est inchangeable. Il est donc bien sûr plus grand que les anges !</w:t>
      </w:r>
    </w:p>
    <w:p w14:paraId="13A6D30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Ex : Tout comme on va au marché pour remplacer ses vêtements usés, Jésus remplace le ciel.</w:t>
      </w:r>
    </w:p>
    <w:p w14:paraId="01FB6913"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Et pour lequel des anges a-t-il jamais dit : Assieds-toi à ma droite, jusqu’à ce que je fasse de tes ennemis ton marchepied. » (13)</w:t>
      </w:r>
    </w:p>
    <w:p w14:paraId="24FABF1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 septième et dernière citation de ce chapitre est tirée du Psaume 110.1. Il s'agit là encore d'un psaume de David, souvent présenté dans la Bible à la fois comme un psaume et comme une prophétie.</w:t>
      </w:r>
    </w:p>
    <w:p w14:paraId="4281B03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 roi, l'élu de Dieu, règne sur les nations. Il reçoit le pouvoir de juger, de décider et de s'asseoir sur le trône à la droite de Dieu. C'est la même position d'honneur mentionnée au verset 1.3. Cela fait partie de l'héritage du Christ : il reçoit l'autorité de régner sur les nations, et il établira son royaume éternel. Un marchepied est conçu pour que l'on y pose les pieds. Cela indique que toutes les nations se soumettront à l'autorité du Christ en tant que roi. Les anges n'ont jamais vécu et ne vivront jamais une telle expérience.</w:t>
      </w:r>
    </w:p>
    <w:p w14:paraId="04533808"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Ne sont-ils pas tous des esprits serviteurs envoyées pour exercer leur ministère en faveur de ceux qui vont héritier le salut ? » (14)</w:t>
      </w:r>
    </w:p>
    <w:p w14:paraId="079947E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En gardant à l'esprit le verset 7, la véritable identité des anges est révélée ici. Leur vrai rôle. Ils sont que des serviteurs. Le rôle des anges n'est pas de régner avec le Christ, mais ils sont destinés à servir.</w:t>
      </w:r>
    </w:p>
    <w:p w14:paraId="1E6816D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Les anges sont destinés à servir ceux qui héritent du salut. De quel salut parle-t-elle ? N'oubliez pas : quand on voit le mot « sauver », il faut toujours se demander « de quoi ? » « Sauvé de quelle manière ? » </w:t>
      </w:r>
    </w:p>
    <w:p w14:paraId="1A4169F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Il ne faut pas supposer que ce salut fait automatiquement référence à notre régénération, à notre justification ou à notre foi initiale en Christ. C'est le contexte qui doit nous aider à en déterminer le sens. Deux éléments du contexte nous aident à comprendre à quoi il est fait référence :</w:t>
      </w:r>
    </w:p>
    <w:p w14:paraId="5A89CD44" w14:textId="77777777" w:rsidR="0005324A" w:rsidRPr="0005324A" w:rsidRDefault="0005324A" w:rsidP="0005324A">
      <w:pPr>
        <w:numPr>
          <w:ilvl w:val="0"/>
          <w:numId w:val="23"/>
        </w:numPr>
        <w:spacing w:after="200" w:line="312" w:lineRule="auto"/>
        <w:contextualSpacing/>
        <w:rPr>
          <w:rFonts w:ascii="Calibri" w:eastAsia="SimHei" w:hAnsi="Calibri" w:cs="Calibri"/>
          <w:lang w:val="fr-FR"/>
        </w:rPr>
      </w:pPr>
      <w:r w:rsidRPr="0005324A">
        <w:rPr>
          <w:rFonts w:ascii="Calibri" w:eastAsia="SimHei" w:hAnsi="Calibri" w:cs="Calibri"/>
          <w:lang w:val="fr-FR"/>
        </w:rPr>
        <w:t>Le temps futur est utilisé. Ces personnes hériteront du salut. Cela semble situer cet événement dans le futur, puisqu'il ne s'était pas encore produit au moment de la rédaction de cette lettre.</w:t>
      </w:r>
    </w:p>
    <w:p w14:paraId="73948291" w14:textId="77777777" w:rsidR="0005324A" w:rsidRPr="0005324A" w:rsidRDefault="0005324A" w:rsidP="0005324A">
      <w:pPr>
        <w:numPr>
          <w:ilvl w:val="0"/>
          <w:numId w:val="23"/>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Dans ce contexte, l'auteur vient de citer le psaume 110. Ce chapitre met l'accent sur le fait que le roi choisi par Dieu s'assiéra sur le trône et que Dieu fera de ses ennemis un </w:t>
      </w:r>
      <w:r w:rsidRPr="0005324A">
        <w:rPr>
          <w:rFonts w:ascii="Calibri" w:eastAsia="SimHei" w:hAnsi="Calibri" w:cs="Calibri"/>
          <w:lang w:val="fr-FR"/>
        </w:rPr>
        <w:lastRenderedPageBreak/>
        <w:t>marchepied sur lequel il posera ses pieds. Tout cela se passera dans le futur ; il est question ici du salut face aux ennemis et de la joie qui suivra sous le règne d'un roi qui rendra parfaitement justice.</w:t>
      </w:r>
    </w:p>
    <w:p w14:paraId="2361DED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7CAF138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Ainsi, le salut dont il est question ici fait probablement référence à ceux qui hériteront du royaume avec le Christ. Ceux-là seront sauvés de leurs ennemis et recevront un meilleur héritage. Non seulement cette interprétation est étayée ici, mais c'est aussi le thème central du chapitre 11.</w:t>
      </w:r>
    </w:p>
    <w:p w14:paraId="638C328C"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Tout ce que les anges font et ont fait vise à soutenir ce plan de Dieu selon lequel le Fils doit tout hériter. Ce royaume comprend des fils et des filles qui partagent sa gloire. Les anges ne sont que de simples serviteurs dans ce plan divin. Tandis que Christ est au centre de tout. Il est donc supérieur aux anges. </w:t>
      </w:r>
    </w:p>
    <w:p w14:paraId="147C1A4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Cette discussion sur les anges se poursuit jusqu’au verset 9 environ du chapitre suivant. Mais pourquoi parler des anges ? Ces anges sont au cœur du plan de Dieu. Ils ont annoncé, jugé et représenté Dieu. Ils constituent aussi la partie la plus puissante de la création. Chez les Juifs, les anges étaient très respectés, mais pas le Christ. Voyez-vous la contradiction ? Ces auditeurs respectent les anges, mais pas celui que les anges servent.</w:t>
      </w:r>
    </w:p>
    <w:p w14:paraId="7808BB1B" w14:textId="77777777" w:rsidR="0005324A" w:rsidRPr="0005324A" w:rsidRDefault="0005324A" w:rsidP="0005324A">
      <w:pPr>
        <w:keepNext/>
        <w:keepLines/>
        <w:pBdr>
          <w:top w:val="single" w:sz="24" w:space="18" w:color="2A2A2A"/>
        </w:pBdr>
        <w:spacing w:after="320"/>
        <w:contextualSpacing/>
        <w:outlineLvl w:val="1"/>
        <w:rPr>
          <w:rFonts w:ascii="Calibri" w:eastAsia="SimHei" w:hAnsi="Calibri" w:cs="Arial"/>
          <w:caps/>
          <w:color w:val="3B8DCD"/>
          <w:kern w:val="0"/>
          <w:sz w:val="38"/>
          <w:szCs w:val="26"/>
          <w:lang w:val="fr-FR" w:eastAsia="ja-JP"/>
          <w14:ligatures w14:val="none"/>
        </w:rPr>
      </w:pPr>
      <w:bookmarkStart w:id="17" w:name="_Toc226540387"/>
      <w:r w:rsidRPr="0005324A">
        <w:rPr>
          <w:rFonts w:ascii="Calibri" w:eastAsia="SimHei" w:hAnsi="Calibri" w:cs="Arial"/>
          <w:caps/>
          <w:color w:val="3B8DCD"/>
          <w:kern w:val="0"/>
          <w:sz w:val="38"/>
          <w:szCs w:val="26"/>
          <w:lang w:val="fr-FR" w:eastAsia="ja-JP"/>
          <w14:ligatures w14:val="none"/>
        </w:rPr>
        <w:t>Chapitre 2 :</w:t>
      </w:r>
      <w:bookmarkEnd w:id="17"/>
      <w:r w:rsidRPr="0005324A">
        <w:rPr>
          <w:rFonts w:ascii="Calibri" w:eastAsia="SimHei" w:hAnsi="Calibri" w:cs="Arial"/>
          <w:caps/>
          <w:color w:val="3B8DCD"/>
          <w:kern w:val="0"/>
          <w:sz w:val="38"/>
          <w:szCs w:val="26"/>
          <w:lang w:val="fr-FR" w:eastAsia="ja-JP"/>
          <w14:ligatures w14:val="none"/>
        </w:rPr>
        <w:t xml:space="preserve"> </w:t>
      </w:r>
    </w:p>
    <w:p w14:paraId="01FEE62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2AD157C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Jusqu'ici, son raisonnement est simple. Le Christ a tout créé, il soutient toute chose, et il régnera sur tout. Alors pourquoi revenir à la pensée et à la tradition juives ? Jésus est supérieur aux anges et aux prophètes, mais les anges et les prophètes sont aussi à son service. </w:t>
      </w:r>
    </w:p>
    <w:p w14:paraId="3C21BB8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Pour le croyant d'aujourd'hui qui traverse des épreuves, Jésus est bien meilleur que tout ce que tu as laissé derrière toi. Il est meilleur que l'islam. Il est meilleur que les traditions catholiques. Il est meilleur que la pensée athée. Toute la création le proclame. Et un jour, il régnera. Ce jour-là, en tant que croyants, on héritera avec lui. </w:t>
      </w:r>
    </w:p>
    <w:p w14:paraId="7522E32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56725911"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lastRenderedPageBreak/>
        <w:t>« C’est pourquoi nous devons prêter une attention d’autant plus vive à ce que nous avons entendu, de peur d’aller à la dérive. » (1)</w:t>
      </w:r>
    </w:p>
    <w:p w14:paraId="7BCFB6A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C'est pourquoi — voici une réflexion très liée à ce qu'il vient de dire. Jésus est supérieur aux anges, il possède un héritage plus grand, un nom plus grand, il a créé le monde, il le soutient, et les anges le servent. C'est pourquoi.... Nous devons être attentifs. Nous devons rester vigilants, faire preuve de prudence et nous concentrer sur ce qu'il va dire. Il s'agit du premier passage d'avertissement de ce livre. Les versets 1 à 4 constituent un appel sincère à prêter attention au message de Dieu qu'ils entendent en ce moment même. </w:t>
      </w:r>
    </w:p>
    <w:p w14:paraId="6A9FA1A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Cette image de l'écoute, qui consiste à tendre l'oreille vers le message et à l'accepter, est un thème essentiel qui revient tout au long de cette lettre. Dieu a parlé, est-ce que vous écoutez ? Il ne s'agit pas seulement d'écouter le message. Il s'agit d'écouter ET de répondre avec foi. C'est cela qui est en jeu ici. Il a clairement parlé par son Fils Jésus. Beaucoup attendent de nouveaux messages de Dieu, mais ici, Dieu affirme avoir déjà parlé par son Fils.</w:t>
      </w:r>
    </w:p>
    <w:p w14:paraId="0908595C"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Deux choix se présentent ici.</w:t>
      </w:r>
    </w:p>
    <w:p w14:paraId="2058D6EC" w14:textId="77777777" w:rsidR="0005324A" w:rsidRPr="0005324A" w:rsidRDefault="0005324A" w:rsidP="0005324A">
      <w:pPr>
        <w:numPr>
          <w:ilvl w:val="0"/>
          <w:numId w:val="24"/>
        </w:numPr>
        <w:spacing w:after="200" w:line="312" w:lineRule="auto"/>
        <w:contextualSpacing/>
        <w:rPr>
          <w:rFonts w:ascii="Calibri" w:eastAsia="SimHei" w:hAnsi="Calibri" w:cs="Calibri"/>
          <w:lang w:val="fr-FR"/>
        </w:rPr>
      </w:pPr>
      <w:r w:rsidRPr="0005324A">
        <w:rPr>
          <w:rFonts w:ascii="Calibri" w:eastAsia="SimHei" w:hAnsi="Calibri" w:cs="Calibri"/>
          <w:lang w:val="fr-FR"/>
        </w:rPr>
        <w:t>Nous pouvons prêter attention et écouter (ce qui implique aussi que la compréhension s'accompagne d'une réponse par la foi).</w:t>
      </w:r>
    </w:p>
    <w:p w14:paraId="0B39CD91" w14:textId="77777777" w:rsidR="0005324A" w:rsidRPr="0005324A" w:rsidRDefault="0005324A" w:rsidP="0005324A">
      <w:pPr>
        <w:numPr>
          <w:ilvl w:val="0"/>
          <w:numId w:val="24"/>
        </w:numPr>
        <w:spacing w:after="200" w:line="312" w:lineRule="auto"/>
        <w:contextualSpacing/>
        <w:rPr>
          <w:rFonts w:ascii="Calibri" w:eastAsia="SimHei" w:hAnsi="Calibri" w:cs="Calibri"/>
          <w:lang w:val="fr-FR"/>
        </w:rPr>
      </w:pPr>
      <w:r w:rsidRPr="0005324A">
        <w:rPr>
          <w:rFonts w:ascii="Calibri" w:eastAsia="SimHei" w:hAnsi="Calibri" w:cs="Calibri"/>
          <w:lang w:val="fr-FR"/>
        </w:rPr>
        <w:t>Nous nous éloignons (nous sommes emportés). De quoi ? D'après le contexte général du livre, il s'agit de s'éloigner complètement de la foi. Nous abandonnons Jésus pour des choses « meilleures ». Ils l'abandonnaient pour la foi et la tradition juives. Je parle de tradition, car ce n'était pas la vraie foi juive, qui aurait dû voir en Jésus l'accomplissement de la prophétie.</w:t>
      </w:r>
    </w:p>
    <w:p w14:paraId="438FDF22"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017002A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L'expression « aller à la dérive » évoque l'idée d'être emporté par l'eau. Tout comme le courant emporte quelqu'un en aval, les croyants peuvent être détournés de leur foi. Dans le cas de ces croyants, ils sont ramenés vers leur ancienne foi, le judaïsme. L'auteur se compte parmi eux. « Nous » sommes capables d'aller à la dérive. </w:t>
      </w:r>
    </w:p>
    <w:p w14:paraId="41239332" w14:textId="77777777" w:rsidR="0005324A" w:rsidRPr="0005324A" w:rsidRDefault="0005324A" w:rsidP="0005324A">
      <w:pPr>
        <w:pBdr>
          <w:top w:val="single" w:sz="4" w:space="1" w:color="000000"/>
          <w:left w:val="single" w:sz="4" w:space="4" w:color="000000"/>
          <w:bottom w:val="single" w:sz="4" w:space="1" w:color="000000"/>
          <w:right w:val="single" w:sz="4" w:space="4" w:color="000000"/>
        </w:pBd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Sommes-nous conscients des courants qui nous influencent ? Je me demande quels sont-ils dans nos vies ? Notre ancienne foi. Nos valeurs familiales qui contredisent la Bible. Pour moi, c'est parfois l'attrait du réconfort. </w:t>
      </w:r>
    </w:p>
    <w:p w14:paraId="0CD2B1AC"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Rien ici ne nous laisse penser qu'il s'agit de non-croyants. Cela deviendra de plus en plus évident au fil du livre. Ce sont de vrais croyants qui peuvent renoncer à leur foi (surtout en </w:t>
      </w:r>
      <w:r w:rsidRPr="0005324A">
        <w:rPr>
          <w:rFonts w:ascii="Calibri" w:eastAsia="Tahoma" w:hAnsi="Calibri" w:cs="Arial"/>
          <w:color w:val="2A2A2A"/>
          <w:kern w:val="0"/>
          <w:szCs w:val="22"/>
          <w:lang w:val="fr-FR" w:eastAsia="ja-JP"/>
          <w14:ligatures w14:val="none"/>
        </w:rPr>
        <w:lastRenderedPageBreak/>
        <w:t>public). Tous les croyants devraient prendre garde à cette possibilité. Cela apparaît lorsque l'auteur s'inclut dans le pronom « nous ».</w:t>
      </w:r>
    </w:p>
    <w:p w14:paraId="09F6BD86"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En effet, si la parole prononcée par des anges s’est confirmée, si toute transgression et toute désobéissance ont reçu une juste rétribution, comment échapperons-nous si nous négligeons un si grand salut, qui a commencé à être annoncé par l’entremise du Seigneur et qui nous a été confirmé par ceux qui l’ont entendu, » (2–3)</w:t>
      </w:r>
    </w:p>
    <w:p w14:paraId="59D16D55"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La parole prononcée par les anges fait référence à la loi mosaïque. C'est sur le mont Sinaï que les anges ont transmis la loi de l'Ancien Testament. Ils ont parlé à Moïse sur le mont Sinaï (Actes 7.38). « Cette loi a été promulguée par des anges qui se sont servis d'un intermédiaire » (Ga 3.19 BFC). </w:t>
      </w:r>
    </w:p>
    <w:p w14:paraId="525C43CC"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Selon la loi, toute transgression ou désobéissance entraînait une punition juste. Cela implique plusieurs choses. 1) Il était possible de violer cette loi. 2) La violation de la loi était punie de manière impartiale. Il y avait donc des sacrifices, mais aussi des punitions pour ceux qui péchaient. Dieu n'a rien laissé passer. Ce n'est pas comme si l'on pouvait transgresser la loi sans que Dieu, le juge, ne le sache. Il arrivait parfois qu'Israël tombe malade, et ils devaient alors demander à Dieu en quoi ils avaient violé la loi. Le juge voit tout et sait tout. </w:t>
      </w:r>
    </w:p>
    <w:p w14:paraId="38A1D4D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Si cela était vrai pour un système ancien et obsolète, à quel point cela l'est-il davantage pour une nouvelle façon de faire les choses. C'était une manière courante chez les Juifs de présenter un argument. Si telle chose était ainsi, à combien plus forte raison telle autre chose. Si Dieu s'est montré fidèle dans le cadre de l'ancien système, il le sera d'autant plus dans le cadre du nouveau système.  Il dit simplement que Dieu voyait tout et jugeait tout selon la loi mosaïque. Son caractère n'a pas changé depuis, il est toujours le même.</w:t>
      </w:r>
    </w:p>
    <w:p w14:paraId="336FB70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En grec, le mot « négliger » signifie ne pas prêter attention à quelque chose ou cesser de s'en soucier.</w:t>
      </w:r>
      <w:r w:rsidRPr="0005324A">
        <w:rPr>
          <w:rFonts w:ascii="Calibri" w:eastAsia="Tahoma" w:hAnsi="Calibri" w:cs="Arial"/>
          <w:color w:val="2A2A2A"/>
          <w:kern w:val="0"/>
          <w:szCs w:val="22"/>
          <w:vertAlign w:val="superscript"/>
          <w:lang w:val="fr-FR" w:eastAsia="ja-JP"/>
          <w14:ligatures w14:val="none"/>
        </w:rPr>
        <w:footnoteReference w:id="13"/>
      </w:r>
      <w:r w:rsidRPr="0005324A">
        <w:rPr>
          <w:rFonts w:ascii="Calibri" w:eastAsia="Tahoma" w:hAnsi="Calibri" w:cs="Arial"/>
          <w:color w:val="2A2A2A"/>
          <w:kern w:val="0"/>
          <w:szCs w:val="22"/>
          <w:lang w:val="fr-FR" w:eastAsia="ja-JP"/>
          <w14:ligatures w14:val="none"/>
        </w:rPr>
        <w:t xml:space="preserve"> Ce sont des gens qui ne se soucient plus de ce salut.</w:t>
      </w:r>
    </w:p>
    <w:p w14:paraId="5FCDE089"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Le « grand salut » dont il est question ici renvoie à la vérité selon laquelle le Christ est le créateur, le chef, le roi et l’héritier de l’univers. Ainsi, pour celui qui s’éloigne et abandonne le Christ, il y aura des conséquences. Quelles sont ces conséquences ? Ce n’est pas précisé dans ce chapitre. Mais cela deviendra de plus en plus clair à mesure que nous avancerons dans le texte, à travers chaque passage d’avertissement. Ce salut semble plutôt faire référence au salut à venir. Il ne s'agit pas simplement de la régénération (comme on le suppose souvent lorsqu'on lit </w:t>
      </w:r>
      <w:r w:rsidRPr="0005324A">
        <w:rPr>
          <w:rFonts w:ascii="Calibri" w:eastAsia="Tahoma" w:hAnsi="Calibri" w:cs="Arial"/>
          <w:color w:val="2A2A2A"/>
          <w:kern w:val="0"/>
          <w:szCs w:val="22"/>
          <w:lang w:val="fr-FR" w:eastAsia="ja-JP"/>
          <w14:ligatures w14:val="none"/>
        </w:rPr>
        <w:lastRenderedPageBreak/>
        <w:t>le mot « sauver »), mais d'une prise de conscience plus large de la supériorité du Christ (et les conséquences que cela aura sur notre avenir).</w:t>
      </w:r>
    </w:p>
    <w:p w14:paraId="782BC2C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Cette nouvelle a d'abord été transmise par le Christ, puis elle a été annoncée à ce groupe par ceux qui avaient initialement entendu le message.</w:t>
      </w:r>
    </w:p>
    <w:p w14:paraId="41DD4D46"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Dieu appuyant leur témoignage par des signes, des prodiges, des miracles de toutes sortes et des communications d’Esprit saint selon sa volonté ? » (4)</w:t>
      </w:r>
    </w:p>
    <w:p w14:paraId="61EA5A9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Dieu a confirmé le message de ceux qui l'écoutaient. On trouve plusieurs exemples de cela dans les Actes des Apôtres. Dieu a soutenu leur message par des miracles et des signes. Des manifestations surnaturelles ont confirmé leur témoignage. C'est le choix de Dieu d'avoir recours à des miracles comme celui-ci.</w:t>
      </w:r>
    </w:p>
    <w:p w14:paraId="76A2E6E3"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Car ce n’est pas à des anges qu’il a soumis le monde à venir dont nous parlons. » (5)</w:t>
      </w:r>
    </w:p>
    <w:p w14:paraId="628098F6"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Les quatre derniers versets (1 à 4) forment une exhortation en parenthèse. Ne l'ignorez pas. Écoutez ce qu'il a dit par l'intermédiaire de Jésus. Il se montrera fidèle pour évaluer et juger quand cela sera nécessaire. Il revient maintenant au sujet initial. Nous savons donc que ce ne sont pas les anges qui jugeront le monde à venir. Qu’est-ce que cela implique ? C’est Jésus qui jugera le monde à venir ! C’est lui le roi ! C’est lui qui héritera du trône, et c’est lui qui jugera. Si vous le rejetez, c’est le futur roi que vous rejetez. Comment pouvez-vous imaginer que ce rejet n’aura aucune conséquence ? Encore une fois, quelles en seront les conséquences ? Nous ne le savons pas encore.</w:t>
      </w:r>
    </w:p>
    <w:p w14:paraId="7A78F10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Tanner dit « Négliger ce grand salut ne signifie pas rejeter l'Évangile, mais plutôt ne pas accorder l'importance qu'il mérite à la dimension future de notre salut, liée à la seconde venue de notre Seigneur et à son royaume. »</w:t>
      </w:r>
      <w:r w:rsidRPr="0005324A">
        <w:rPr>
          <w:rFonts w:ascii="Calibri" w:eastAsia="Tahoma" w:hAnsi="Calibri" w:cs="Arial"/>
          <w:color w:val="2A2A2A"/>
          <w:kern w:val="0"/>
          <w:szCs w:val="22"/>
          <w:vertAlign w:val="superscript"/>
          <w:lang w:val="fr-FR" w:eastAsia="ja-JP"/>
          <w14:ligatures w14:val="none"/>
        </w:rPr>
        <w:footnoteReference w:id="14"/>
      </w:r>
      <w:r w:rsidRPr="0005324A">
        <w:rPr>
          <w:rFonts w:ascii="Calibri" w:eastAsia="Tahoma" w:hAnsi="Calibri" w:cs="Arial"/>
          <w:color w:val="2A2A2A"/>
          <w:kern w:val="0"/>
          <w:szCs w:val="22"/>
          <w:lang w:val="fr-FR" w:eastAsia="ja-JP"/>
          <w14:ligatures w14:val="none"/>
        </w:rPr>
        <w:t xml:space="preserve"> Nous nous éloignons de lui parce que nous oublions que notre vie actuelle a une influence sur notre avenir en tant que croyants et sur notre rôle dans son royaume.</w:t>
      </w:r>
    </w:p>
    <w:p w14:paraId="0CC292D3"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Mais quelqu’un a rendu quelque part ce témoignage : Qu’est-ce que l’homme, pour que tu te souviennes de lui ? Qu’est-ce que le fils d’homme, pour que tu t’occupes de lui ? Tu l’as fait un peu inférieur aux anges, tu l’as couronné de gloire et d’honneur, tu as tout mis sous ses pieds. » (6–8a)</w:t>
      </w:r>
    </w:p>
    <w:p w14:paraId="1F876BD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Il y a un autre élément qui fait que Jésus est supérieur aux anges. Jésus est mieux placé pour devenir notre chef, car il partage avec nous son humanité. Il est bien plus qualifié. C'est là vers quoi l'auteur se dirige maintenant.</w:t>
      </w:r>
    </w:p>
    <w:p w14:paraId="2941D48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lastRenderedPageBreak/>
        <w:t>C'est curieux de voir comment il cite David ici. Ce passage est tiré du Psaume 8, versets 4 à 6, un psaume très connu. David médite sur la création et sur la puissance dont Dieu a dû disposer pour la réaliser. Au cœur de ce poème consacré à Dieu, il souligne à quel point il est remarquable qu’un Dieu d’une telle grandeur se soucie de l’homme. Il note que l’humanité a été chargée de régner sur la création. D'habitude, on se concentre sur le début de ce passage. Deux remarques rapides en lien avec les thèmes abordés dans ce passage.</w:t>
      </w:r>
    </w:p>
    <w:p w14:paraId="5D821CD2" w14:textId="77777777" w:rsidR="0005324A" w:rsidRPr="0005324A" w:rsidRDefault="0005324A" w:rsidP="0005324A">
      <w:pPr>
        <w:numPr>
          <w:ilvl w:val="0"/>
          <w:numId w:val="2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L'homme n'est qu'un peu inférieur aux anges. Il y a deux traductions possibles de cette phrase ici. </w:t>
      </w:r>
    </w:p>
    <w:p w14:paraId="63989AD3" w14:textId="77777777" w:rsidR="0005324A" w:rsidRPr="0005324A" w:rsidRDefault="0005324A" w:rsidP="0005324A">
      <w:pPr>
        <w:numPr>
          <w:ilvl w:val="1"/>
          <w:numId w:val="25"/>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 L'homme est un peu inférieur aux anges. » </w:t>
      </w:r>
    </w:p>
    <w:p w14:paraId="70787820" w14:textId="77777777" w:rsidR="0005324A" w:rsidRPr="0005324A" w:rsidRDefault="0005324A" w:rsidP="0005324A">
      <w:pPr>
        <w:numPr>
          <w:ilvl w:val="1"/>
          <w:numId w:val="25"/>
        </w:numPr>
        <w:spacing w:after="200" w:line="312" w:lineRule="auto"/>
        <w:contextualSpacing/>
        <w:rPr>
          <w:rFonts w:ascii="Calibri" w:eastAsia="SimHei" w:hAnsi="Calibri" w:cs="Calibri"/>
          <w:lang w:val="fr-FR"/>
        </w:rPr>
      </w:pPr>
      <w:r w:rsidRPr="0005324A">
        <w:rPr>
          <w:rFonts w:ascii="Calibri" w:eastAsia="SimHei" w:hAnsi="Calibri" w:cs="Calibri"/>
          <w:lang w:val="fr-FR"/>
        </w:rPr>
        <w:t>Ou bien « Pendant un certain temps, l'homme est inférieur aux anges. » Il semble que l'auteur de la lettre aux Hébreux mette ici l'accent sur ce point. Ce qui l'intéresse, c'est davantage la durée que le poste occupé. L'humanité est, POUR UN COURT INSTANT, inférieure aux anges.</w:t>
      </w:r>
    </w:p>
    <w:p w14:paraId="58A55DE8" w14:textId="77777777" w:rsidR="0005324A" w:rsidRPr="0005324A" w:rsidRDefault="0005324A" w:rsidP="0005324A">
      <w:pPr>
        <w:ind w:left="1440"/>
        <w:contextualSpacing/>
        <w:rPr>
          <w:rFonts w:ascii="Calibri" w:eastAsia="SimHei" w:hAnsi="Calibri" w:cs="Calibri"/>
          <w:lang w:val="fr-FR"/>
        </w:rPr>
      </w:pPr>
    </w:p>
    <w:p w14:paraId="5B1077E7" w14:textId="77777777" w:rsidR="0005324A" w:rsidRPr="0005324A" w:rsidRDefault="0005324A" w:rsidP="0005324A">
      <w:pPr>
        <w:numPr>
          <w:ilvl w:val="0"/>
          <w:numId w:val="25"/>
        </w:numPr>
        <w:spacing w:after="200" w:line="312" w:lineRule="auto"/>
        <w:contextualSpacing/>
        <w:rPr>
          <w:rFonts w:ascii="Calibri" w:eastAsia="SimHei" w:hAnsi="Calibri" w:cs="Calibri"/>
          <w:lang w:val="fr-FR"/>
        </w:rPr>
      </w:pPr>
      <w:r w:rsidRPr="0005324A">
        <w:rPr>
          <w:rFonts w:ascii="Calibri" w:eastAsia="SimHei" w:hAnsi="Calibri" w:cs="Calibri"/>
          <w:lang w:val="fr-FR"/>
        </w:rPr>
        <w:t>L'homme est honoré par Dieu. Une fois encore, l’homme reçoit un héritage de Dieu.</w:t>
      </w:r>
    </w:p>
    <w:p w14:paraId="21D4C4F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7A950EB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L'auteur va maintenant ajouter quelques commentaires à ce sujet. Que veut-il dire par là ?</w:t>
      </w:r>
    </w:p>
    <w:p w14:paraId="4362A4A0"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En lui soumettant tout, en effet, il n’a rien laissé qui ne lui soit soumis. Maintenant, certes, nous ne voyons pas encore que tout lui soit soumis, cependant nous voyons celui qui a été fait un peu inférieur aux anges, Jésus, couronné de gloire et d’honneur, à cause de la mort qu’il a soufferte, ainsi, par la grâce de Dieu, il a goûté la mort pour tous. » (8b–9)</w:t>
      </w:r>
    </w:p>
    <w:p w14:paraId="3A526AA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Dieu a tout donné à l’homme. Mais son dessein a été contrecarré à cause du péché dans le jardin. L’homme n’a pas pu régner sur toute la création à cause du péché. Tout aurait dû lui être soumis. C’est toujours le cas au moment où il écrit cette lettre. L’homme ne règne pas.</w:t>
      </w:r>
    </w:p>
    <w:p w14:paraId="06D2BBC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Mais que voyons-nous ? Nous voyons quelqu’un. Il a été inférieur aux anges pendant un court instant. Son nom est Jésus. Il est couronné de gloire et d’honneur. Pourquoi mérite-t-il tant cela ? Parce qu’il a goûté à la mort. </w:t>
      </w:r>
    </w:p>
    <w:p w14:paraId="5D796CD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Quel est le lien ici ? En devenant homme, il s’est soumis à la croix, n’est-ce pas ? Ainsi, pour mourir, il devait être un homme. Afin d’accomplir le dessein de Dieu pour l’humanité, il doit régner en tant qu’homme. L'auteur met donc ici l'accent sur les deux dernières parties du psaume que j'ai mentionnées. L'homme règne au-dessus des anges, comme il est censé le faire, </w:t>
      </w:r>
      <w:r w:rsidRPr="0005324A">
        <w:rPr>
          <w:rFonts w:ascii="Calibri" w:eastAsia="Tahoma" w:hAnsi="Calibri" w:cs="Arial"/>
          <w:color w:val="2A2A2A"/>
          <w:kern w:val="0"/>
          <w:szCs w:val="22"/>
          <w:lang w:val="fr-FR" w:eastAsia="ja-JP"/>
          <w14:ligatures w14:val="none"/>
        </w:rPr>
        <w:lastRenderedPageBreak/>
        <w:t>incarné par le Christ. C'est l'héritage du Christ. C'est son rôle. Mais le verset suivant est mon préféré.</w:t>
      </w:r>
    </w:p>
    <w:p w14:paraId="165282B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Il a donc goûté à la mort, ce qui le rend digne et capable de réaliser ces objectifs de l'homme. Mais en quoi cela est-il important pour les auditeurs ? En quoi cela les motive-t-il à ne pas abandonner leur marche ?</w:t>
      </w:r>
    </w:p>
    <w:p w14:paraId="766DD9A2"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6F43014D"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En effet, puisque celui pour qui et par qui tout existe voulait conduire beaucoup de fils à la gloire, il convenait qu’il porte à son accomplissement, par des souffrances, le pionnier de leur salut. » (10)</w:t>
      </w:r>
    </w:p>
    <w:p w14:paraId="7895E4ED"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L'auteur aborde le sujet précédent et introduit une nouvelle idée. Il ne passera plus beaucoup du temps sur le fait que Jésus est supérieur aux anges ; il va désormais se concentrer sur le Christ et son œuvre sur terre. </w:t>
      </w:r>
    </w:p>
    <w:p w14:paraId="297C3EF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Puisqu'il voulait conduire beaucoup de fils à cette gloire, il était logique que Jésus soit « parachevé » par la souffrance. Dieu a confié à Jésus l'héritage du règne. À son tour, il l'a partagé avec ceux qui le suivent, qui héritent de cet héritage avec lui. NOUS ! Il a fait tout cela pour obtenir un héritage, mais pas uniquement pour cette raison. En effet, sachant quelle gloire l'attendait, sa première pensée a été de la partager avec ses compagnons. NOUS.</w:t>
      </w:r>
    </w:p>
    <w:p w14:paraId="1E88BF6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Pour que cela puisse se réaliser, et pour nous aider à y parvenir, il devait devenir comme nous. L'expression « porter à son accomplissement » signifie simplement que ce Christ devait en quelque sorte être plus complet. Cela ne veut pas dire qu'il était pécheur et qu'il devait devenir sans péché. Il s'agit plutôt ici de « mener quelqu'un à son but ».</w:t>
      </w:r>
      <w:r w:rsidRPr="0005324A">
        <w:rPr>
          <w:rFonts w:ascii="Calibri" w:eastAsia="Tahoma" w:hAnsi="Calibri" w:cs="Arial"/>
          <w:color w:val="2A2A2A"/>
          <w:kern w:val="0"/>
          <w:szCs w:val="22"/>
          <w:vertAlign w:val="superscript"/>
          <w:lang w:val="fr-FR" w:eastAsia="ja-JP"/>
          <w14:ligatures w14:val="none"/>
        </w:rPr>
        <w:footnoteReference w:id="15"/>
      </w:r>
      <w:r w:rsidRPr="0005324A">
        <w:rPr>
          <w:rFonts w:ascii="Calibri" w:eastAsia="Tahoma" w:hAnsi="Calibri" w:cs="Arial"/>
          <w:color w:val="2A2A2A"/>
          <w:kern w:val="0"/>
          <w:szCs w:val="22"/>
          <w:lang w:val="fr-FR" w:eastAsia="ja-JP"/>
          <w14:ligatures w14:val="none"/>
        </w:rPr>
        <w:t xml:space="preserve"> Nous verrons que l'une des façons dont il a été rendu parfait, c'est qu'il a obéi au Père (He 5.8). Il a aussi été « rendu parfait » lorsqu'il s'est fait semblable à nous et a pris la forme d'un homme.</w:t>
      </w:r>
    </w:p>
    <w:p w14:paraId="7F24CB2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Il est devenu « le pionnier », ou le chef. Il nous a ouvert la voie. Il a fondé notre foi et nous y conduit. Nous n'avons d'autre choix que de le suivre. Grâce à ses souffrances, les hommes et les femmes ont part à sa résurrection. MAIS grâce à ses souffrances, les hommes et les femmes peuvent aussi avoir part à sa gloire (image – clé pour notre maison). Notre résurrection repose sur lui. Elle est garantie. Mais la nature de cette résurrection, ce à quoi ressemblera notre règne avec lui, cela dépend de nous. Cela dépend de notre fidélité.</w:t>
      </w:r>
    </w:p>
    <w:p w14:paraId="4192A276"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lastRenderedPageBreak/>
        <w:t>« Car celui qui consacre et ceux qui sont consacrés sont tous issus d’un seul. C’est la raison pour laquelle il n’a pas honte de les appeler frères, » (11)</w:t>
      </w:r>
    </w:p>
    <w:p w14:paraId="316F561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Consacrer » signifie ici simplement « mettre à part ». Cela ne semble pas faire référence à la sanctification progressive dans ce contexte. Ce serait une conversation sur le fait que nous devenons de plus en plus saints. Ce n'est pas vraiment dans le contexte. Il semble plutôt être question de la position du Christ et de celle de ses frères. C'est notre identité. Nous sommes mis à part. C’est notre position. Ces deux sanctifications proviennent d’« un seul ». Il peut s’agir d’une seule personne ou d’une seule source. Cela fait probablement référence au Père.</w:t>
      </w:r>
    </w:p>
    <w:p w14:paraId="1747A12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Puisque le Christ est mis à part, et puisque ces compagnons ou frères sont eux aussi mis à part, il ne ressent aucune honte à les appeler ses frères. Grâce à cette œuvre du Christ sur terre, les hommes et les femmes deviennent les frères et sœurs du roi.</w:t>
      </w:r>
    </w:p>
    <w:p w14:paraId="31FE305B"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lorsqu’il dit : J’annoncerai ton nom à mes frères, je te louerai au milieu de l’assemblée. » (12)</w:t>
      </w:r>
    </w:p>
    <w:p w14:paraId="7F91EF1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Pour renforcer cette idée selon laquelle Jésus-Christ a des frères et sœurs, l'auteur cite à nouveau l'Ancien Testament. Il cite le Psaume 22.22 tiré de la Septante. Puis il citera Ésaïe 8.</w:t>
      </w:r>
    </w:p>
    <w:p w14:paraId="1C8D617B"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 Psaume 22 a été écrit par David. Dans ce psaume, David décrit son expérience en tant que serviteur de Dieu, encerclé par ses ennemis. Il est assiégé de toutes parts. Au cœur de ce danger, il crie vers le Seigneur, et le Seigneur le délivre. Il loue alors le nom du Seigneur devant l’assemblée. Dans ce contexte, l’assemblée se compose de ceux qui suivent fidèlement le Seigneur. David est représenté comme roi ou chef de son assemblée. Le Christ est roi ou chef de cette communauté. En tant que responsable de cette communauté, il a beaucoup de frères et sœurs.</w:t>
      </w:r>
    </w:p>
    <w:p w14:paraId="76E15A5C"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Et encore : Moi, je mettrai ma confiance en lui. Et encore : Me voici, moi et les enfants que Dieu m’a donnés. » (13)</w:t>
      </w:r>
    </w:p>
    <w:p w14:paraId="3E5481D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L'auteur cite ensuite Ésaïe 12 (peut-être), puis Ésaïe 8. La première citation est tirée du contexte de la restauration d'Israël. Le peuple de Dieu doit se réjouir en plaçant sa confiance en lui. Un jour, Dieu rassemblera fidèlement son peuple, et celui-ci sera restauré. Israël sera béni par son Dieu.</w:t>
      </w:r>
    </w:p>
    <w:p w14:paraId="4B06101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Le chapitre 8 est tiré d'un contexte différent. Israël se détourne du Seigneur. Le peuple cherche de l'aide auprès de l'Assyrie plutôt qu'auprès de Dieu. Au milieu de cette situation, Ésaïe se tourne vers le Seigneur. Il exprime sa confiance en lui. Il confie au Seigneur ses disciples, qu'il appelle ses fils, et qui marchent fidèlement. Ésaïe dirige un groupe de disciples, qu'il confie au Seigneur. Jésus dirige un groupe de disciples, qu'il confie au Seigneur.</w:t>
      </w:r>
    </w:p>
    <w:p w14:paraId="42A3126D"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lastRenderedPageBreak/>
        <w:t>En citant ces trois passages, il souhaite mettre en évidence la relation que Jésus a désormais avec ceux qui hériteront du salut, ses frères et sœurs. Il leur rappelle la nature de Dieu, il les guide, il les appelle ses frères, il les protège.</w:t>
      </w:r>
    </w:p>
    <w:p w14:paraId="0506A68F"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Ainsi donc, puisque ces enfants ont en commun le sang et la chair, lui aussi, pareillement, a partagé la même condition, pour réduire à rien, par sa mort, celui qui détenait le pouvoir de la mort, c’est-à-dire le diable, et délivrer tous ceux qui, par crainte de la mort, étaient retenus dans l’esclavage toute leur vie. » (14–15)</w:t>
      </w:r>
    </w:p>
    <w:p w14:paraId="6B306FF2"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Pour guider ses frères, pour prendre soin d’eux, il devait les libérer. Il devait s’imposer en tant que chef de file. Alors, comment a-t-il agi ? </w:t>
      </w:r>
    </w:p>
    <w:p w14:paraId="3C43995D" w14:textId="77777777" w:rsidR="0005324A" w:rsidRPr="0005324A" w:rsidRDefault="0005324A" w:rsidP="0005324A">
      <w:pPr>
        <w:numPr>
          <w:ilvl w:val="0"/>
          <w:numId w:val="26"/>
        </w:numPr>
        <w:spacing w:after="200" w:line="312" w:lineRule="auto"/>
        <w:contextualSpacing/>
        <w:rPr>
          <w:rFonts w:ascii="Calibri" w:eastAsia="SimHei" w:hAnsi="Calibri" w:cs="Calibri"/>
          <w:lang w:val="fr-FR"/>
        </w:rPr>
      </w:pPr>
      <w:r w:rsidRPr="0005324A">
        <w:rPr>
          <w:rFonts w:ascii="Calibri" w:eastAsia="SimHei" w:hAnsi="Calibri" w:cs="Calibri"/>
          <w:lang w:val="fr-FR"/>
        </w:rPr>
        <w:t xml:space="preserve">Il a dû devenir comme eux. Il a pensé à nous, il a compris ce dont nous avions besoin, et il s’est personnellement fait comme nous pour toujours. Il a pris la forme d’un homme. </w:t>
      </w:r>
    </w:p>
    <w:p w14:paraId="085F67C5" w14:textId="77777777" w:rsidR="0005324A" w:rsidRPr="0005324A" w:rsidRDefault="0005324A" w:rsidP="0005324A">
      <w:pPr>
        <w:numPr>
          <w:ilvl w:val="0"/>
          <w:numId w:val="26"/>
        </w:numPr>
        <w:spacing w:after="200" w:line="312" w:lineRule="auto"/>
        <w:contextualSpacing/>
        <w:rPr>
          <w:rFonts w:ascii="Calibri" w:eastAsia="SimHei" w:hAnsi="Calibri" w:cs="Calibri"/>
          <w:lang w:val="fr-FR"/>
        </w:rPr>
      </w:pPr>
      <w:r w:rsidRPr="0005324A">
        <w:rPr>
          <w:rFonts w:ascii="Calibri" w:eastAsia="SimHei" w:hAnsi="Calibri" w:cs="Calibri"/>
          <w:lang w:val="fr-FR"/>
        </w:rPr>
        <w:t>Dans cet état de faiblesse, inférieur aux anges, il s’est laissé exécuter. Pourquoi ? Pour ôter à Satan son pouvoir sur la mort.</w:t>
      </w:r>
    </w:p>
    <w:p w14:paraId="4F1CA205"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18806F2A"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L'homme a été créé pour dominer et régner sur la création. Ce projet a été contrecarré par Satan, qui s'est servi de la peur de la mort pour nous paralyser. La stratégie de Satan était excellente. Il les a convaincus de pécher, et c'est là que la mort est entrée en scène. Désormais, l'homme vit pour aujourd'hui, et non pour demain. Notre existence est temporaire, c'est pourquoi nous investissons rarement dans la vie à venir. Il devait nous libérer de tout ça. Il devait nous donner de l'espoir. C'est exactement ce qu'il a fait. Il a pris notre place pour que nous puissions rêver de plus grandes choses.</w:t>
      </w:r>
    </w:p>
    <w:p w14:paraId="12354D7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Pour marcher vraiment par la foi et avancer dans l'espoir de l'avenir, notre avenir doit être radieux. Il nous offre un avenir radieux, plein de possibilités qui dépassent cette vie-ci.</w:t>
      </w:r>
    </w:p>
    <w:p w14:paraId="21E99258"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Assurément, en effet, ce n’est pas à des anges qu’il vient en aide, mais c’est à la descendance d’Abraham qu’il vient en aide. » (16)</w:t>
      </w:r>
    </w:p>
    <w:p w14:paraId="189FF1B8"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Ce verset nous ramène directement au cœur de son propos dans ces deux chapitres. Il nous rappelle le verset 14 du chapitre 1. Les anges sont au service de ceux qui héritent avec le Christ, et il apparaît que le Christ est lui-même au service de ces mêmes frères et sœurs. Le Christ n’a jamais offert la rédemption à Satan, mais il l’offre aux descendants d’Abraham. </w:t>
      </w:r>
    </w:p>
    <w:p w14:paraId="4B08D8B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Je pense qu’il a ici quelque chose de spirituel à l’esprit, car il semble que dans ce passage, il pense à tous les croyants, et pas seulement aux Juifs. Je pense qu’il utilise ce terme de la même manière que Paul l’utilise en Ga 3.1 où Paul affirme que ceux qui acceptent par la foi sont les </w:t>
      </w:r>
      <w:r w:rsidRPr="0005324A">
        <w:rPr>
          <w:rFonts w:ascii="Calibri" w:eastAsia="Tahoma" w:hAnsi="Calibri" w:cs="Arial"/>
          <w:color w:val="2A2A2A"/>
          <w:kern w:val="0"/>
          <w:szCs w:val="22"/>
          <w:lang w:val="fr-FR" w:eastAsia="ja-JP"/>
          <w14:ligatures w14:val="none"/>
        </w:rPr>
        <w:lastRenderedPageBreak/>
        <w:t>vrais descendants d'Abraham. Toutefois, les deux affirmations sont vraies : la rédemption est offerte aux Juifs (les fils littéraux d'Abraham) et aux non-Juifs (les fils spirituels d'Abraham) par l'intermédiaire du Christ.</w:t>
      </w:r>
    </w:p>
    <w:p w14:paraId="2D6EB927"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Aussi, devait-il devenir en tout semblable à ses frères, afin d’être un grand prêtre compatissant et digne de confiance dans le service de Dieu, pour faire l’expiation des péchés du peuple. » (17)</w:t>
      </w:r>
    </w:p>
    <w:p w14:paraId="0BC1CA63"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La suite de cette réflexion nous ramène à l’un de ses nouveaux rôles. Il en a déjà parlé au chapitre 1 (1.3). Jésus est devenu en tout semblable à ses frères. Il est né, il a appris à marcher, à parler. Jésus a appris à obéir à ses parents. Jésus a appris à lire et à écrire. Il est allé à l’école. Il a suivi ce chemin d’humilité afin de pouvoir nous ressembler en tout.</w:t>
      </w:r>
    </w:p>
    <w:p w14:paraId="247DFACE"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C'est ainsi qu'il serait pleinement « complet » en tant que grand prêtre. C'est la première fois que l'auteur utilise ce terme. Retenez-le bien, car il reviendra sans cesse comme une idée centrale.  Certains disent que Dieu est si transcendant que nous ne pourrons jamais le connaître ni lui ressembler. C'est vrai. Mais le Christ a comblé ce fossé, afin que nous ayons un représentant assis à la droite du Père.</w:t>
      </w:r>
    </w:p>
    <w:p w14:paraId="100B6537"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Il est devenu un grand prêtre qui comprend les hommes. Ce rôle est déjà établi dans l'Ancien Testament. Le Christ devient celui qui représente le peuple devant Dieu. C'est aussi lui qui offre un sacrifice pour garantir le pardon des péchés.</w:t>
      </w:r>
    </w:p>
    <w:p w14:paraId="2036A12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Deux qualités le caractérisent en tant que grand prêtre. </w:t>
      </w:r>
    </w:p>
    <w:p w14:paraId="6AD2565F" w14:textId="77777777" w:rsidR="0005324A" w:rsidRPr="0005324A" w:rsidRDefault="0005324A" w:rsidP="0005324A">
      <w:pPr>
        <w:numPr>
          <w:ilvl w:val="0"/>
          <w:numId w:val="27"/>
        </w:numPr>
        <w:spacing w:after="200" w:line="312" w:lineRule="auto"/>
        <w:contextualSpacing/>
        <w:rPr>
          <w:rFonts w:ascii="Calibri" w:eastAsia="SimHei" w:hAnsi="Calibri" w:cs="Calibri"/>
          <w:lang w:val="fr-FR"/>
        </w:rPr>
      </w:pPr>
      <w:r w:rsidRPr="0005324A">
        <w:rPr>
          <w:rFonts w:ascii="Calibri" w:eastAsia="SimHei" w:hAnsi="Calibri" w:cs="Calibri"/>
          <w:lang w:val="fr-FR"/>
        </w:rPr>
        <w:t>Il est digne. Il a souffert, mais il a marché sans faute. Il a reçu un titre supérieur à celui des anges. Il a été plus fidèle que les prophètes. Il s'est sacrifié pour que les péchés soient pardonnés.</w:t>
      </w:r>
    </w:p>
    <w:p w14:paraId="22487399" w14:textId="77777777" w:rsidR="0005324A" w:rsidRPr="0005324A" w:rsidRDefault="0005324A" w:rsidP="0005324A">
      <w:pPr>
        <w:numPr>
          <w:ilvl w:val="0"/>
          <w:numId w:val="27"/>
        </w:numPr>
        <w:spacing w:after="200" w:line="312" w:lineRule="auto"/>
        <w:contextualSpacing/>
        <w:rPr>
          <w:rFonts w:ascii="Calibri" w:eastAsia="SimHei" w:hAnsi="Calibri" w:cs="Calibri"/>
          <w:lang w:val="fr-FR"/>
        </w:rPr>
      </w:pPr>
      <w:r w:rsidRPr="0005324A">
        <w:rPr>
          <w:rFonts w:ascii="Calibri" w:eastAsia="SimHei" w:hAnsi="Calibri" w:cs="Calibri"/>
          <w:lang w:val="fr-FR"/>
        </w:rPr>
        <w:t>Il est compatissant. Même s’il nous surpasse à tous ces égards, il est plein de compassion. Il nous comprend. Il comprend nos faiblesses et nos tentations. Il a été tenté en tout point. On n’aime pas demander de l’aide à des gens qui n’ont jamais connu de difficultés ni de succès ; Jésus, lui, a toute l’expérience et les compétences nécessaires pour nous aider.</w:t>
      </w:r>
      <w:r w:rsidRPr="0005324A">
        <w:rPr>
          <w:rFonts w:ascii="Palatino" w:eastAsia="SimHei" w:hAnsi="Palatino" w:cs="Arial"/>
          <w:lang w:val="fr-FR"/>
        </w:rPr>
        <w:t xml:space="preserve"> </w:t>
      </w:r>
      <w:r w:rsidRPr="0005324A">
        <w:rPr>
          <w:rFonts w:ascii="Calibri" w:eastAsia="SimHei" w:hAnsi="Calibri" w:cs="Calibri"/>
          <w:lang w:val="fr-FR"/>
        </w:rPr>
        <w:t>N'oublie pas : lorsqu'il est venu sur terre, il pensait à toi. Il est assis à la droite du Père, et il pense toujours à toi.</w:t>
      </w:r>
    </w:p>
    <w:p w14:paraId="50877C70"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p>
    <w:p w14:paraId="78BDB5F1"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 xml:space="preserve">Le Père estime que le Christ est entièrement digne de confiance. Personne ne peut remettre en cause son caractère. Il est donc digne d’assumer ce nouveau rôle. Un élément essentiel de ce </w:t>
      </w:r>
      <w:r w:rsidRPr="0005324A">
        <w:rPr>
          <w:rFonts w:ascii="Calibri" w:eastAsia="Tahoma" w:hAnsi="Calibri" w:cs="Arial"/>
          <w:color w:val="2A2A2A"/>
          <w:kern w:val="0"/>
          <w:szCs w:val="22"/>
          <w:lang w:val="fr-FR" w:eastAsia="ja-JP"/>
          <w14:ligatures w14:val="none"/>
        </w:rPr>
        <w:lastRenderedPageBreak/>
        <w:t>rôle est le pardon des péchés. Il a offert une « expiation. » Il s’agit d’un terme juridique. Cela signifie détourner le châtiment ou la colère du juge grâce à un sacrifice offert à sa place.</w:t>
      </w:r>
    </w:p>
    <w:p w14:paraId="20F9D5EA" w14:textId="77777777" w:rsidR="0005324A" w:rsidRPr="0005324A" w:rsidRDefault="0005324A" w:rsidP="0005324A">
      <w:pPr>
        <w:keepNext/>
        <w:keepLines/>
        <w:pBdr>
          <w:left w:val="single" w:sz="4" w:space="3" w:color="auto"/>
          <w:right w:val="single" w:sz="4" w:space="3" w:color="auto"/>
        </w:pBdr>
        <w:spacing w:after="320"/>
        <w:contextualSpacing/>
        <w:outlineLvl w:val="3"/>
        <w:rPr>
          <w:rFonts w:ascii="Calibri" w:eastAsia="SimHei" w:hAnsi="Calibri" w:cs="Arial"/>
          <w:b/>
          <w:i/>
          <w:iCs/>
          <w:color w:val="365B71"/>
          <w:kern w:val="0"/>
          <w:szCs w:val="22"/>
          <w:lang w:val="fr-FR" w:eastAsia="ja-JP"/>
          <w14:ligatures w14:val="none"/>
        </w:rPr>
      </w:pPr>
      <w:r w:rsidRPr="0005324A">
        <w:rPr>
          <w:rFonts w:ascii="Calibri" w:eastAsia="SimHei" w:hAnsi="Calibri" w:cs="Arial"/>
          <w:b/>
          <w:i/>
          <w:iCs/>
          <w:color w:val="365B71"/>
          <w:kern w:val="0"/>
          <w:szCs w:val="22"/>
          <w:lang w:val="fr-FR" w:eastAsia="ja-JP"/>
          <w14:ligatures w14:val="none"/>
        </w:rPr>
        <w:t>« Car du fait qu’il a souffert lui-même quand il a été mis à l’épreuve, il peut secourir ceux qui sont mis à l’éprouve. » (18)</w:t>
      </w:r>
    </w:p>
    <w:p w14:paraId="2B90331F" w14:textId="77777777" w:rsidR="0005324A" w:rsidRPr="0005324A" w:rsidRDefault="0005324A" w:rsidP="0005324A">
      <w:pPr>
        <w:spacing w:after="200" w:line="312" w:lineRule="auto"/>
        <w:rPr>
          <w:rFonts w:ascii="Calibri" w:eastAsia="Tahoma" w:hAnsi="Calibri" w:cs="Arial"/>
          <w:color w:val="2A2A2A"/>
          <w:kern w:val="0"/>
          <w:szCs w:val="22"/>
          <w:lang w:val="fr-FR" w:eastAsia="ja-JP"/>
          <w14:ligatures w14:val="none"/>
        </w:rPr>
      </w:pPr>
      <w:r w:rsidRPr="0005324A">
        <w:rPr>
          <w:rFonts w:ascii="Calibri" w:eastAsia="Tahoma" w:hAnsi="Calibri" w:cs="Arial"/>
          <w:color w:val="2A2A2A"/>
          <w:kern w:val="0"/>
          <w:szCs w:val="22"/>
          <w:lang w:val="fr-FR" w:eastAsia="ja-JP"/>
          <w14:ligatures w14:val="none"/>
        </w:rPr>
        <w:t>Ici, l'auteur résume ce qu'il a dit jusqu'à présent. Jésus a traversé des épreuves, il a souffert, et c'est pourquoi il est pleinement qualifié pour aider ceux qui vivent les mêmes difficultés. Cela nous ramène aux versets 1.14 et 2.16. Il envoie des anges pour venir en aide à ceux qui hériteront, c'est-à-dire aux croyants. Lui-même vient au secours de ses frères et sœurs. Il est désormais bien placé pour apporter une aide efficace grâce à ce qu'il a vécu.</w:t>
      </w:r>
    </w:p>
    <w:p w14:paraId="42873883" w14:textId="77777777" w:rsidR="00E41979" w:rsidRPr="0005324A" w:rsidRDefault="00E41979">
      <w:pPr>
        <w:rPr>
          <w:lang w:val="fr-FR"/>
        </w:rPr>
      </w:pPr>
    </w:p>
    <w:sectPr w:rsidR="00E41979" w:rsidRPr="0005324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7E30D" w14:textId="77777777" w:rsidR="004E366B" w:rsidRDefault="004E366B" w:rsidP="0005324A">
      <w:r>
        <w:separator/>
      </w:r>
    </w:p>
  </w:endnote>
  <w:endnote w:type="continuationSeparator" w:id="0">
    <w:p w14:paraId="05B5BDF7" w14:textId="77777777" w:rsidR="004E366B" w:rsidRDefault="004E366B" w:rsidP="00053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ira Sans">
    <w:panose1 w:val="020B0503050000020004"/>
    <w:charset w:val="00"/>
    <w:family w:val="swiss"/>
    <w:pitch w:val="variable"/>
    <w:sig w:usb0="600002FF" w:usb1="00000001"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Funnel Sans">
    <w:panose1 w:val="00000000000000000000"/>
    <w:charset w:val="00"/>
    <w:family w:val="auto"/>
    <w:pitch w:val="variable"/>
    <w:sig w:usb0="A00000EF" w:usb1="4000004A" w:usb2="00000000" w:usb3="00000000" w:csb0="00000093"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9060101010101"/>
    <w:charset w:val="86"/>
    <w:family w:val="modern"/>
    <w:pitch w:val="fixed"/>
    <w:sig w:usb0="800002BF" w:usb1="38CF7CFA" w:usb2="00000016" w:usb3="00000000" w:csb0="00040001" w:csb1="00000000"/>
  </w:font>
  <w:font w:name="Palatino">
    <w:panose1 w:val="00000000000000000000"/>
    <w:charset w:val="4D"/>
    <w:family w:val="auto"/>
    <w:pitch w:val="variable"/>
    <w:sig w:usb0="A00002FF" w:usb1="7800205A" w:usb2="14600000" w:usb3="00000000" w:csb0="0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A6B20" w14:textId="77777777" w:rsidR="004E366B" w:rsidRDefault="004E366B" w:rsidP="0005324A">
      <w:r>
        <w:separator/>
      </w:r>
    </w:p>
  </w:footnote>
  <w:footnote w:type="continuationSeparator" w:id="0">
    <w:p w14:paraId="5B63F515" w14:textId="77777777" w:rsidR="004E366B" w:rsidRDefault="004E366B" w:rsidP="0005324A">
      <w:r>
        <w:continuationSeparator/>
      </w:r>
    </w:p>
  </w:footnote>
  <w:footnote w:id="1">
    <w:p w14:paraId="5606002E" w14:textId="77777777" w:rsidR="0005324A" w:rsidRPr="00A6597B" w:rsidRDefault="0005324A" w:rsidP="0005324A">
      <w:pPr>
        <w:pStyle w:val="FootnoteText"/>
        <w:ind w:firstLine="720"/>
      </w:pPr>
      <w:r>
        <w:rPr>
          <w:rStyle w:val="FootnoteReference"/>
        </w:rPr>
        <w:footnoteRef/>
      </w:r>
      <w:r w:rsidRPr="00A6597B">
        <w:t xml:space="preserve"> Mike Sullivan, "Session 1," </w:t>
      </w:r>
      <w:r w:rsidRPr="00A6597B">
        <w:rPr>
          <w:i/>
          <w:iCs/>
        </w:rPr>
        <w:t xml:space="preserve">Hebrews, </w:t>
      </w:r>
      <w:r>
        <w:t>Ethnos360 Bible Institute</w:t>
      </w:r>
      <w:r w:rsidRPr="00A6597B">
        <w:t xml:space="preserve"> Lecture</w:t>
      </w:r>
      <w:r>
        <w:t xml:space="preserve"> (Waukesha, WI: Ethnos360, 2022). </w:t>
      </w:r>
    </w:p>
  </w:footnote>
  <w:footnote w:id="2">
    <w:p w14:paraId="3F41CF56" w14:textId="77777777" w:rsidR="0005324A" w:rsidRPr="005D4F3A" w:rsidRDefault="0005324A" w:rsidP="0005324A">
      <w:pPr>
        <w:pStyle w:val="FootnoteText"/>
        <w:tabs>
          <w:tab w:val="left" w:pos="810"/>
        </w:tabs>
        <w:ind w:firstLine="720"/>
        <w:rPr>
          <w:lang w:val="fr-FR"/>
        </w:rPr>
      </w:pPr>
      <w:r>
        <w:rPr>
          <w:rStyle w:val="FootnoteReference"/>
        </w:rPr>
        <w:footnoteRef/>
      </w:r>
      <w:r w:rsidRPr="005D4F3A">
        <w:rPr>
          <w:lang w:val="fr-FR"/>
        </w:rPr>
        <w:t xml:space="preserve"> Brad Dickson, </w:t>
      </w:r>
      <w:r w:rsidRPr="005D4F3A">
        <w:rPr>
          <w:i/>
          <w:iCs/>
          <w:lang w:val="fr-FR"/>
        </w:rPr>
        <w:t xml:space="preserve">Hébreux </w:t>
      </w:r>
      <w:r w:rsidRPr="005D4F3A">
        <w:rPr>
          <w:lang w:val="fr-FR"/>
        </w:rPr>
        <w:t xml:space="preserve">(Lyon, France: </w:t>
      </w:r>
      <w:r>
        <w:rPr>
          <w:lang w:val="fr-FR"/>
        </w:rPr>
        <w:t xml:space="preserve">Éditions Clé, 2023), 27. </w:t>
      </w:r>
    </w:p>
  </w:footnote>
  <w:footnote w:id="3">
    <w:p w14:paraId="5ABBDBED" w14:textId="77777777" w:rsidR="0005324A" w:rsidRPr="00AB0BAA" w:rsidRDefault="0005324A" w:rsidP="0005324A">
      <w:pPr>
        <w:pStyle w:val="FootnoteText"/>
        <w:ind w:firstLine="720"/>
      </w:pPr>
      <w:r>
        <w:rPr>
          <w:rStyle w:val="FootnoteReference"/>
        </w:rPr>
        <w:footnoteRef/>
      </w:r>
      <w:r>
        <w:t xml:space="preserve"> Paul Ellingworth, </w:t>
      </w:r>
      <w:r>
        <w:rPr>
          <w:i/>
          <w:iCs/>
        </w:rPr>
        <w:t xml:space="preserve">The Epistle to the Hebrews: A Commentary on the Greek Text </w:t>
      </w:r>
      <w:r>
        <w:t xml:space="preserve">(Grand Rapids, MI: Eerdmans, 1992), 7–8, Logos Edition. </w:t>
      </w:r>
    </w:p>
  </w:footnote>
  <w:footnote w:id="4">
    <w:p w14:paraId="73F0EA16" w14:textId="77777777" w:rsidR="0005324A" w:rsidRPr="00363EEF" w:rsidRDefault="0005324A" w:rsidP="0005324A">
      <w:pPr>
        <w:pStyle w:val="FootnoteText"/>
        <w:ind w:firstLine="720"/>
        <w:rPr>
          <w:lang w:val="fr-FR"/>
        </w:rPr>
      </w:pPr>
      <w:r>
        <w:rPr>
          <w:rStyle w:val="FootnoteReference"/>
        </w:rPr>
        <w:footnoteRef/>
      </w:r>
      <w:r w:rsidRPr="00363EEF">
        <w:rPr>
          <w:lang w:val="fr-FR"/>
        </w:rPr>
        <w:t xml:space="preserve"> Né de la rencontre entre la </w:t>
      </w:r>
      <w:r>
        <w:rPr>
          <w:lang w:val="fr-FR"/>
        </w:rPr>
        <w:t xml:space="preserve">tradition religieuse hébraïque et la culture </w:t>
      </w:r>
      <w:r w:rsidRPr="006257C5">
        <w:rPr>
          <w:lang w:val="fr-FR"/>
        </w:rPr>
        <w:t>de l'époque de la grande expansion de la Grèce antique.</w:t>
      </w:r>
      <w:r>
        <w:rPr>
          <w:lang w:val="fr-FR"/>
        </w:rPr>
        <w:t xml:space="preserve"> </w:t>
      </w:r>
      <w:r w:rsidRPr="006257C5">
        <w:rPr>
          <w:lang w:val="fr-FR"/>
        </w:rPr>
        <w:t>Il s'agissait d'une tradition religieuse des Juifs qui s'est mêlée à la culture grecque de l'époque pour former une nouvelle culture.</w:t>
      </w:r>
    </w:p>
  </w:footnote>
  <w:footnote w:id="5">
    <w:p w14:paraId="7C5149C5" w14:textId="77777777" w:rsidR="0005324A" w:rsidRPr="006257C5" w:rsidRDefault="0005324A" w:rsidP="0005324A">
      <w:pPr>
        <w:pStyle w:val="FootnoteText"/>
        <w:ind w:firstLine="720"/>
        <w:rPr>
          <w:lang w:val="fr-FR"/>
        </w:rPr>
      </w:pPr>
      <w:r>
        <w:rPr>
          <w:rStyle w:val="FootnoteReference"/>
        </w:rPr>
        <w:footnoteRef/>
      </w:r>
      <w:r w:rsidRPr="006257C5">
        <w:rPr>
          <w:lang w:val="fr-FR"/>
        </w:rPr>
        <w:t xml:space="preserve"> </w:t>
      </w:r>
      <w:r>
        <w:rPr>
          <w:lang w:val="fr-FR"/>
        </w:rPr>
        <w:t>« </w:t>
      </w:r>
      <w:r w:rsidRPr="006257C5">
        <w:rPr>
          <w:lang w:val="fr-FR"/>
        </w:rPr>
        <w:t>Abandon, renoncement, éloignement</w:t>
      </w:r>
      <w:r>
        <w:rPr>
          <w:lang w:val="fr-FR"/>
        </w:rPr>
        <w:t> » du grec ancien.</w:t>
      </w:r>
      <w:r w:rsidRPr="006257C5">
        <w:rPr>
          <w:lang w:val="fr-FR"/>
        </w:rPr>
        <w:t xml:space="preserve"> C’est l’attitude d</w:t>
      </w:r>
      <w:r>
        <w:rPr>
          <w:lang w:val="fr-FR"/>
        </w:rPr>
        <w:t>’une personne qui renonce publiquement à une doctrine, une croyance ou leur foi.</w:t>
      </w:r>
    </w:p>
  </w:footnote>
  <w:footnote w:id="6">
    <w:p w14:paraId="55880D77" w14:textId="77777777" w:rsidR="0005324A" w:rsidRPr="00556F9C" w:rsidRDefault="0005324A" w:rsidP="0005324A">
      <w:pPr>
        <w:pStyle w:val="FootnoteText"/>
        <w:ind w:firstLine="720"/>
      </w:pPr>
      <w:r>
        <w:rPr>
          <w:rStyle w:val="FootnoteReference"/>
        </w:rPr>
        <w:footnoteRef/>
      </w:r>
      <w:r>
        <w:t xml:space="preserve"> Paul Ellingworth, </w:t>
      </w:r>
      <w:r>
        <w:rPr>
          <w:i/>
          <w:iCs/>
        </w:rPr>
        <w:t xml:space="preserve">The Epistle to the Hebrews </w:t>
      </w:r>
      <w:r>
        <w:t xml:space="preserve">(Grand Rapids, MI: Eerdmans, 1993), 21, Logos Edition. </w:t>
      </w:r>
    </w:p>
  </w:footnote>
  <w:footnote w:id="7">
    <w:p w14:paraId="5F7974A8" w14:textId="77777777" w:rsidR="0005324A" w:rsidRPr="00297A15" w:rsidRDefault="0005324A" w:rsidP="0005324A">
      <w:pPr>
        <w:pStyle w:val="FootnoteText"/>
        <w:ind w:firstLine="720"/>
      </w:pPr>
      <w:r>
        <w:rPr>
          <w:rStyle w:val="FootnoteReference"/>
        </w:rPr>
        <w:footnoteRef/>
      </w:r>
      <w:r>
        <w:t xml:space="preserve"> J. Paul Tanner, </w:t>
      </w:r>
      <w:r>
        <w:rPr>
          <w:i/>
          <w:iCs/>
        </w:rPr>
        <w:t xml:space="preserve">The Epistle to the Hebrews </w:t>
      </w:r>
      <w:r>
        <w:t xml:space="preserve">(independently published, 2024), 37. </w:t>
      </w:r>
    </w:p>
  </w:footnote>
  <w:footnote w:id="8">
    <w:p w14:paraId="517D367C" w14:textId="77777777" w:rsidR="0005324A" w:rsidRDefault="0005324A" w:rsidP="0005324A">
      <w:pPr>
        <w:pStyle w:val="FootnoteText"/>
        <w:ind w:firstLine="720"/>
      </w:pPr>
      <w:r>
        <w:rPr>
          <w:rStyle w:val="FootnoteReference"/>
        </w:rPr>
        <w:footnoteRef/>
      </w:r>
      <w:r>
        <w:t xml:space="preserve"> Tanner, 16–17. </w:t>
      </w:r>
    </w:p>
  </w:footnote>
  <w:footnote w:id="9">
    <w:p w14:paraId="4BA00AA3" w14:textId="77777777" w:rsidR="0005324A" w:rsidRPr="00064163" w:rsidRDefault="0005324A" w:rsidP="0005324A">
      <w:pPr>
        <w:pStyle w:val="FootnoteText"/>
        <w:ind w:firstLine="720"/>
      </w:pPr>
      <w:r>
        <w:rPr>
          <w:rStyle w:val="FootnoteReference"/>
        </w:rPr>
        <w:footnoteRef/>
      </w:r>
      <w:r>
        <w:t xml:space="preserve"> Steve Stanley, “The Structure of Hebrews from Three Perspectives,” </w:t>
      </w:r>
      <w:r>
        <w:rPr>
          <w:i/>
          <w:iCs/>
        </w:rPr>
        <w:t xml:space="preserve">Tyndale Bulletin </w:t>
      </w:r>
      <w:r>
        <w:t xml:space="preserve">45:2 (1994), 253. </w:t>
      </w:r>
    </w:p>
  </w:footnote>
  <w:footnote w:id="10">
    <w:p w14:paraId="55C4F604" w14:textId="77777777" w:rsidR="0005324A" w:rsidRDefault="0005324A" w:rsidP="0005324A">
      <w:pPr>
        <w:pStyle w:val="FootnoteText"/>
        <w:ind w:firstLine="720"/>
      </w:pPr>
      <w:r>
        <w:rPr>
          <w:rStyle w:val="FootnoteReference"/>
        </w:rPr>
        <w:footnoteRef/>
      </w:r>
      <w:r>
        <w:t xml:space="preserve"> Tanner, 49.</w:t>
      </w:r>
    </w:p>
  </w:footnote>
  <w:footnote w:id="11">
    <w:p w14:paraId="001ED963" w14:textId="77777777" w:rsidR="0005324A" w:rsidRDefault="0005324A" w:rsidP="0005324A">
      <w:pPr>
        <w:pStyle w:val="FootnoteText"/>
        <w:ind w:firstLine="720"/>
      </w:pPr>
      <w:r>
        <w:rPr>
          <w:rStyle w:val="FootnoteReference"/>
        </w:rPr>
        <w:footnoteRef/>
      </w:r>
      <w:r>
        <w:t xml:space="preserve"> Dickson, 38–40.</w:t>
      </w:r>
    </w:p>
  </w:footnote>
  <w:footnote w:id="12">
    <w:p w14:paraId="3A866DF4" w14:textId="77777777" w:rsidR="0005324A" w:rsidRPr="002743D1" w:rsidRDefault="0005324A" w:rsidP="0005324A">
      <w:pPr>
        <w:pStyle w:val="FootnoteText"/>
        <w:ind w:firstLine="720"/>
      </w:pPr>
      <w:r>
        <w:rPr>
          <w:rStyle w:val="FootnoteReference"/>
        </w:rPr>
        <w:footnoteRef/>
      </w:r>
      <w:r w:rsidRPr="006F4246">
        <w:t xml:space="preserve"> George H. Guthrie, “Hebrews,” in </w:t>
      </w:r>
      <w:r w:rsidRPr="006F4246">
        <w:rPr>
          <w:i/>
          <w:iCs/>
        </w:rPr>
        <w:t>Zondervan Illustrated Bible Backgrounds Commentary</w:t>
      </w:r>
      <w:r>
        <w:rPr>
          <w:i/>
          <w:iCs/>
        </w:rPr>
        <w:t xml:space="preserve"> </w:t>
      </w:r>
      <w:r>
        <w:t xml:space="preserve">Vol 4 (Grand Rapids, MI: Zondervan, 2002), verse 1.5, Logos Edition. </w:t>
      </w:r>
    </w:p>
  </w:footnote>
  <w:footnote w:id="13">
    <w:p w14:paraId="5234EBF4" w14:textId="77777777" w:rsidR="0005324A" w:rsidRDefault="0005324A" w:rsidP="0005324A">
      <w:pPr>
        <w:pStyle w:val="FootnoteText"/>
        <w:ind w:firstLine="720"/>
      </w:pPr>
      <w:r>
        <w:rPr>
          <w:rStyle w:val="FootnoteReference"/>
        </w:rPr>
        <w:footnoteRef/>
      </w:r>
      <w:r>
        <w:t xml:space="preserve"> Tanner, 76. </w:t>
      </w:r>
    </w:p>
  </w:footnote>
  <w:footnote w:id="14">
    <w:p w14:paraId="534CCE59" w14:textId="77777777" w:rsidR="0005324A" w:rsidRDefault="0005324A" w:rsidP="0005324A">
      <w:pPr>
        <w:pStyle w:val="FootnoteText"/>
        <w:ind w:firstLine="720"/>
      </w:pPr>
      <w:r>
        <w:rPr>
          <w:rStyle w:val="FootnoteReference"/>
        </w:rPr>
        <w:footnoteRef/>
      </w:r>
      <w:r>
        <w:t xml:space="preserve"> Tanner, 76. </w:t>
      </w:r>
    </w:p>
  </w:footnote>
  <w:footnote w:id="15">
    <w:p w14:paraId="44951CF3" w14:textId="77777777" w:rsidR="0005324A" w:rsidRDefault="0005324A" w:rsidP="0005324A">
      <w:pPr>
        <w:pStyle w:val="FootnoteText"/>
        <w:ind w:firstLine="720"/>
      </w:pPr>
      <w:r>
        <w:rPr>
          <w:rStyle w:val="FootnoteReference"/>
        </w:rPr>
        <w:footnoteRef/>
      </w:r>
      <w:r>
        <w:t xml:space="preserve"> Tanner, 79.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787A455A"/>
    <w:lvl w:ilvl="0">
      <w:start w:val="1"/>
      <w:numFmt w:val="decimal"/>
      <w:lvlText w:val="%1."/>
      <w:lvlJc w:val="left"/>
      <w:pPr>
        <w:tabs>
          <w:tab w:val="num" w:pos="389"/>
        </w:tabs>
        <w:ind w:left="389" w:hanging="389"/>
      </w:pPr>
      <w:rPr>
        <w:rFonts w:hint="default"/>
      </w:rPr>
    </w:lvl>
  </w:abstractNum>
  <w:abstractNum w:abstractNumId="1" w15:restartNumberingAfterBreak="0">
    <w:nsid w:val="FFFFFF89"/>
    <w:multiLevelType w:val="singleLevel"/>
    <w:tmpl w:val="7BAE3498"/>
    <w:lvl w:ilvl="0">
      <w:start w:val="1"/>
      <w:numFmt w:val="bullet"/>
      <w:lvlText w:val=""/>
      <w:lvlJc w:val="left"/>
      <w:pPr>
        <w:tabs>
          <w:tab w:val="num" w:pos="432"/>
        </w:tabs>
        <w:ind w:left="432" w:hanging="432"/>
      </w:pPr>
      <w:rPr>
        <w:rFonts w:ascii="Symbol" w:hAnsi="Symbol" w:hint="default"/>
      </w:rPr>
    </w:lvl>
  </w:abstractNum>
  <w:abstractNum w:abstractNumId="2" w15:restartNumberingAfterBreak="0">
    <w:nsid w:val="06C7362E"/>
    <w:multiLevelType w:val="hybridMultilevel"/>
    <w:tmpl w:val="078A913A"/>
    <w:lvl w:ilvl="0" w:tplc="F108703C">
      <w:start w:val="1"/>
      <w:numFmt w:val="bullet"/>
      <w:pStyle w:val="ListBullet"/>
      <w:lvlText w:val=""/>
      <w:lvlJc w:val="left"/>
      <w:pPr>
        <w:tabs>
          <w:tab w:val="num" w:pos="389"/>
        </w:tabs>
        <w:ind w:left="389" w:hanging="389"/>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853295"/>
    <w:multiLevelType w:val="hybridMultilevel"/>
    <w:tmpl w:val="5C489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91496B"/>
    <w:multiLevelType w:val="hybridMultilevel"/>
    <w:tmpl w:val="8B86F606"/>
    <w:lvl w:ilvl="0" w:tplc="61AEB7E4">
      <w:start w:val="1"/>
      <w:numFmt w:val="bullet"/>
      <w:lvlText w:val=""/>
      <w:lvlJc w:val="left"/>
      <w:pPr>
        <w:tabs>
          <w:tab w:val="num" w:pos="389"/>
        </w:tabs>
        <w:ind w:left="389" w:hanging="389"/>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846A61"/>
    <w:multiLevelType w:val="hybridMultilevel"/>
    <w:tmpl w:val="BA1A2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B6739"/>
    <w:multiLevelType w:val="hybridMultilevel"/>
    <w:tmpl w:val="97A6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B84602"/>
    <w:multiLevelType w:val="hybridMultilevel"/>
    <w:tmpl w:val="10B0A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1E6239"/>
    <w:multiLevelType w:val="hybridMultilevel"/>
    <w:tmpl w:val="18C209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8A5634"/>
    <w:multiLevelType w:val="hybridMultilevel"/>
    <w:tmpl w:val="A5647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097A87"/>
    <w:multiLevelType w:val="hybridMultilevel"/>
    <w:tmpl w:val="E9227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E37E88"/>
    <w:multiLevelType w:val="hybridMultilevel"/>
    <w:tmpl w:val="FB964C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553159"/>
    <w:multiLevelType w:val="hybridMultilevel"/>
    <w:tmpl w:val="ECC27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725994"/>
    <w:multiLevelType w:val="hybridMultilevel"/>
    <w:tmpl w:val="FF5E52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131675"/>
    <w:multiLevelType w:val="hybridMultilevel"/>
    <w:tmpl w:val="6FDCB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946561"/>
    <w:multiLevelType w:val="hybridMultilevel"/>
    <w:tmpl w:val="C4600FEA"/>
    <w:lvl w:ilvl="0" w:tplc="DCE260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C9613E"/>
    <w:multiLevelType w:val="hybridMultilevel"/>
    <w:tmpl w:val="C3B0C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2F0872"/>
    <w:multiLevelType w:val="hybridMultilevel"/>
    <w:tmpl w:val="4274D8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4E4C39"/>
    <w:multiLevelType w:val="hybridMultilevel"/>
    <w:tmpl w:val="B880A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6325A7C"/>
    <w:multiLevelType w:val="hybridMultilevel"/>
    <w:tmpl w:val="46D27B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CE29A8"/>
    <w:multiLevelType w:val="hybridMultilevel"/>
    <w:tmpl w:val="79A8913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F210467"/>
    <w:multiLevelType w:val="hybridMultilevel"/>
    <w:tmpl w:val="48A8CD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3521AF"/>
    <w:multiLevelType w:val="hybridMultilevel"/>
    <w:tmpl w:val="C02E4AB4"/>
    <w:lvl w:ilvl="0" w:tplc="FFFFFFFF">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28110EC"/>
    <w:multiLevelType w:val="hybridMultilevel"/>
    <w:tmpl w:val="A330FC92"/>
    <w:lvl w:ilvl="0" w:tplc="0B66C61A">
      <w:start w:val="1"/>
      <w:numFmt w:val="decimal"/>
      <w:pStyle w:val="ListNumber"/>
      <w:lvlText w:val="%1."/>
      <w:lvlJc w:val="left"/>
      <w:pPr>
        <w:tabs>
          <w:tab w:val="num" w:pos="389"/>
        </w:tabs>
        <w:ind w:left="389" w:hanging="389"/>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44963E4"/>
    <w:multiLevelType w:val="hybridMultilevel"/>
    <w:tmpl w:val="0B725B38"/>
    <w:lvl w:ilvl="0" w:tplc="FB8A73C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FC23F2"/>
    <w:multiLevelType w:val="hybridMultilevel"/>
    <w:tmpl w:val="5F84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6388578">
    <w:abstractNumId w:val="1"/>
  </w:num>
  <w:num w:numId="2" w16cid:durableId="835346537">
    <w:abstractNumId w:val="1"/>
    <w:lvlOverride w:ilvl="0">
      <w:startOverride w:val="1"/>
    </w:lvlOverride>
  </w:num>
  <w:num w:numId="3" w16cid:durableId="329603453">
    <w:abstractNumId w:val="4"/>
  </w:num>
  <w:num w:numId="4" w16cid:durableId="1168667740">
    <w:abstractNumId w:val="0"/>
  </w:num>
  <w:num w:numId="5" w16cid:durableId="1030765752">
    <w:abstractNumId w:val="24"/>
  </w:num>
  <w:num w:numId="6" w16cid:durableId="1687827235">
    <w:abstractNumId w:val="23"/>
  </w:num>
  <w:num w:numId="7" w16cid:durableId="1468429969">
    <w:abstractNumId w:val="2"/>
  </w:num>
  <w:num w:numId="8" w16cid:durableId="288365949">
    <w:abstractNumId w:val="3"/>
  </w:num>
  <w:num w:numId="9" w16cid:durableId="227151180">
    <w:abstractNumId w:val="15"/>
  </w:num>
  <w:num w:numId="10" w16cid:durableId="564223121">
    <w:abstractNumId w:val="25"/>
  </w:num>
  <w:num w:numId="11" w16cid:durableId="1403024910">
    <w:abstractNumId w:val="20"/>
  </w:num>
  <w:num w:numId="12" w16cid:durableId="1547258749">
    <w:abstractNumId w:val="9"/>
  </w:num>
  <w:num w:numId="13" w16cid:durableId="161898070">
    <w:abstractNumId w:val="16"/>
  </w:num>
  <w:num w:numId="14" w16cid:durableId="384378640">
    <w:abstractNumId w:val="14"/>
  </w:num>
  <w:num w:numId="15" w16cid:durableId="2129355934">
    <w:abstractNumId w:val="13"/>
  </w:num>
  <w:num w:numId="16" w16cid:durableId="1696732813">
    <w:abstractNumId w:val="22"/>
  </w:num>
  <w:num w:numId="17" w16cid:durableId="849223239">
    <w:abstractNumId w:val="11"/>
  </w:num>
  <w:num w:numId="18" w16cid:durableId="1608000947">
    <w:abstractNumId w:val="21"/>
  </w:num>
  <w:num w:numId="19" w16cid:durableId="1322735112">
    <w:abstractNumId w:val="6"/>
  </w:num>
  <w:num w:numId="20" w16cid:durableId="940407642">
    <w:abstractNumId w:val="10"/>
  </w:num>
  <w:num w:numId="21" w16cid:durableId="289286934">
    <w:abstractNumId w:val="5"/>
  </w:num>
  <w:num w:numId="22" w16cid:durableId="1359549472">
    <w:abstractNumId w:val="7"/>
  </w:num>
  <w:num w:numId="23" w16cid:durableId="224222867">
    <w:abstractNumId w:val="19"/>
  </w:num>
  <w:num w:numId="24" w16cid:durableId="1255897902">
    <w:abstractNumId w:val="12"/>
  </w:num>
  <w:num w:numId="25" w16cid:durableId="1737315964">
    <w:abstractNumId w:val="8"/>
  </w:num>
  <w:num w:numId="26" w16cid:durableId="1797749022">
    <w:abstractNumId w:val="17"/>
  </w:num>
  <w:num w:numId="27" w16cid:durableId="10221972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24A"/>
    <w:rsid w:val="0005324A"/>
    <w:rsid w:val="000D3840"/>
    <w:rsid w:val="00122FE9"/>
    <w:rsid w:val="0030134C"/>
    <w:rsid w:val="004122F3"/>
    <w:rsid w:val="004247C1"/>
    <w:rsid w:val="004407BB"/>
    <w:rsid w:val="004E366B"/>
    <w:rsid w:val="00504B10"/>
    <w:rsid w:val="005133C5"/>
    <w:rsid w:val="008463F2"/>
    <w:rsid w:val="00CA0403"/>
    <w:rsid w:val="00E41979"/>
    <w:rsid w:val="00E558C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7353F05"/>
  <w15:chartTrackingRefBased/>
  <w15:docId w15:val="{11492E98-A581-1D4B-BB08-29C0859E1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ira Sans" w:eastAsiaTheme="minorEastAsia" w:hAnsi="Fira Sans"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840"/>
    <w:rPr>
      <w:rFonts w:ascii="Funnel Sans" w:hAnsi="Funnel Sans"/>
    </w:rPr>
  </w:style>
  <w:style w:type="paragraph" w:styleId="Heading1">
    <w:name w:val="heading 1"/>
    <w:basedOn w:val="Normal"/>
    <w:next w:val="Normal"/>
    <w:link w:val="Heading1Char"/>
    <w:autoRedefine/>
    <w:uiPriority w:val="9"/>
    <w:qFormat/>
    <w:rsid w:val="000D3840"/>
    <w:pPr>
      <w:keepNext/>
      <w:keepLines/>
      <w:pBdr>
        <w:left w:val="single" w:sz="4" w:space="4" w:color="auto"/>
      </w:pBdr>
      <w:spacing w:before="360" w:after="80"/>
      <w:outlineLvl w:val="0"/>
    </w:pPr>
    <w:rPr>
      <w:rFonts w:eastAsiaTheme="majorEastAsia" w:cstheme="majorBidi"/>
      <w:b/>
      <w:caps/>
      <w:color w:val="1F3864" w:themeColor="accent1" w:themeShade="80"/>
      <w:sz w:val="40"/>
      <w:szCs w:val="40"/>
    </w:rPr>
  </w:style>
  <w:style w:type="paragraph" w:styleId="Heading2">
    <w:name w:val="heading 2"/>
    <w:basedOn w:val="Normal"/>
    <w:next w:val="Normal"/>
    <w:link w:val="Heading2Char"/>
    <w:autoRedefine/>
    <w:uiPriority w:val="9"/>
    <w:unhideWhenUsed/>
    <w:qFormat/>
    <w:rsid w:val="000D3840"/>
    <w:pPr>
      <w:keepNext/>
      <w:keepLines/>
      <w:spacing w:before="160" w:after="80"/>
      <w:outlineLvl w:val="1"/>
    </w:pPr>
    <w:rPr>
      <w:rFonts w:eastAsiaTheme="majorEastAsia" w:cstheme="majorBidi"/>
      <w:caps/>
      <w:sz w:val="32"/>
      <w:szCs w:val="32"/>
    </w:rPr>
  </w:style>
  <w:style w:type="paragraph" w:styleId="Heading3">
    <w:name w:val="heading 3"/>
    <w:basedOn w:val="Normal"/>
    <w:next w:val="Normal"/>
    <w:link w:val="Heading3Char"/>
    <w:uiPriority w:val="9"/>
    <w:unhideWhenUsed/>
    <w:qFormat/>
    <w:rsid w:val="0005324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05324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5324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5324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5324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5324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5324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840"/>
    <w:rPr>
      <w:rFonts w:ascii="Funnel Sans" w:eastAsiaTheme="majorEastAsia" w:hAnsi="Funnel Sans" w:cstheme="majorBidi"/>
      <w:b/>
      <w:caps/>
      <w:color w:val="1F3864" w:themeColor="accent1" w:themeShade="80"/>
      <w:sz w:val="40"/>
      <w:szCs w:val="40"/>
    </w:rPr>
  </w:style>
  <w:style w:type="character" w:customStyle="1" w:styleId="Heading2Char">
    <w:name w:val="Heading 2 Char"/>
    <w:basedOn w:val="DefaultParagraphFont"/>
    <w:link w:val="Heading2"/>
    <w:uiPriority w:val="9"/>
    <w:rsid w:val="000D3840"/>
    <w:rPr>
      <w:rFonts w:ascii="Funnel Sans" w:eastAsiaTheme="majorEastAsia" w:hAnsi="Funnel Sans" w:cstheme="majorBidi"/>
      <w:caps/>
      <w:sz w:val="32"/>
      <w:szCs w:val="32"/>
    </w:rPr>
  </w:style>
  <w:style w:type="character" w:customStyle="1" w:styleId="Heading3Char">
    <w:name w:val="Heading 3 Char"/>
    <w:basedOn w:val="DefaultParagraphFont"/>
    <w:link w:val="Heading3"/>
    <w:uiPriority w:val="9"/>
    <w:rsid w:val="0005324A"/>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rsid w:val="0005324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5324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5324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5324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5324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5324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532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32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324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324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5324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324A"/>
    <w:rPr>
      <w:rFonts w:ascii="Funnel Sans" w:hAnsi="Funnel Sans"/>
      <w:i/>
      <w:iCs/>
      <w:color w:val="404040" w:themeColor="text1" w:themeTint="BF"/>
    </w:rPr>
  </w:style>
  <w:style w:type="paragraph" w:styleId="ListParagraph">
    <w:name w:val="List Paragraph"/>
    <w:basedOn w:val="Normal"/>
    <w:uiPriority w:val="34"/>
    <w:qFormat/>
    <w:rsid w:val="0005324A"/>
    <w:pPr>
      <w:ind w:left="720"/>
      <w:contextualSpacing/>
    </w:pPr>
  </w:style>
  <w:style w:type="character" w:styleId="IntenseEmphasis">
    <w:name w:val="Intense Emphasis"/>
    <w:basedOn w:val="DefaultParagraphFont"/>
    <w:uiPriority w:val="21"/>
    <w:qFormat/>
    <w:rsid w:val="0005324A"/>
    <w:rPr>
      <w:i/>
      <w:iCs/>
      <w:color w:val="2F5496" w:themeColor="accent1" w:themeShade="BF"/>
    </w:rPr>
  </w:style>
  <w:style w:type="paragraph" w:styleId="IntenseQuote">
    <w:name w:val="Intense Quote"/>
    <w:basedOn w:val="Normal"/>
    <w:next w:val="Normal"/>
    <w:link w:val="IntenseQuoteChar"/>
    <w:uiPriority w:val="30"/>
    <w:qFormat/>
    <w:rsid w:val="000532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324A"/>
    <w:rPr>
      <w:rFonts w:ascii="Funnel Sans" w:hAnsi="Funnel Sans"/>
      <w:i/>
      <w:iCs/>
      <w:color w:val="2F5496" w:themeColor="accent1" w:themeShade="BF"/>
    </w:rPr>
  </w:style>
  <w:style w:type="character" w:styleId="IntenseReference">
    <w:name w:val="Intense Reference"/>
    <w:basedOn w:val="DefaultParagraphFont"/>
    <w:uiPriority w:val="32"/>
    <w:qFormat/>
    <w:rsid w:val="0005324A"/>
    <w:rPr>
      <w:b/>
      <w:bCs/>
      <w:smallCaps/>
      <w:color w:val="2F5496" w:themeColor="accent1" w:themeShade="BF"/>
      <w:spacing w:val="5"/>
    </w:rPr>
  </w:style>
  <w:style w:type="numbering" w:customStyle="1" w:styleId="NoList1">
    <w:name w:val="No List1"/>
    <w:next w:val="NoList"/>
    <w:uiPriority w:val="99"/>
    <w:semiHidden/>
    <w:unhideWhenUsed/>
    <w:rsid w:val="0005324A"/>
  </w:style>
  <w:style w:type="paragraph" w:styleId="Footer">
    <w:name w:val="footer"/>
    <w:basedOn w:val="Normal"/>
    <w:link w:val="FooterChar"/>
    <w:uiPriority w:val="99"/>
    <w:unhideWhenUsed/>
    <w:qFormat/>
    <w:rsid w:val="0005324A"/>
    <w:rPr>
      <w:rFonts w:ascii="Calibri" w:eastAsia="Tahoma" w:hAnsi="Calibri"/>
      <w:b/>
      <w:color w:val="2A2A2A"/>
      <w:kern w:val="0"/>
      <w:sz w:val="46"/>
      <w:szCs w:val="22"/>
      <w:lang w:eastAsia="ja-JP"/>
      <w14:ligatures w14:val="none"/>
    </w:rPr>
  </w:style>
  <w:style w:type="character" w:customStyle="1" w:styleId="FooterChar">
    <w:name w:val="Footer Char"/>
    <w:basedOn w:val="DefaultParagraphFont"/>
    <w:link w:val="Footer"/>
    <w:uiPriority w:val="99"/>
    <w:rsid w:val="0005324A"/>
    <w:rPr>
      <w:rFonts w:ascii="Calibri" w:eastAsia="Tahoma" w:hAnsi="Calibri"/>
      <w:b/>
      <w:color w:val="2A2A2A"/>
      <w:kern w:val="0"/>
      <w:sz w:val="46"/>
      <w:szCs w:val="22"/>
      <w:lang w:eastAsia="ja-JP"/>
      <w14:ligatures w14:val="none"/>
    </w:rPr>
  </w:style>
  <w:style w:type="paragraph" w:styleId="ListBullet">
    <w:name w:val="List Bullet"/>
    <w:basedOn w:val="Normal"/>
    <w:autoRedefine/>
    <w:uiPriority w:val="10"/>
    <w:qFormat/>
    <w:rsid w:val="0005324A"/>
    <w:pPr>
      <w:numPr>
        <w:numId w:val="7"/>
      </w:numPr>
      <w:tabs>
        <w:tab w:val="clear" w:pos="389"/>
      </w:tabs>
      <w:spacing w:after="120" w:line="312" w:lineRule="auto"/>
      <w:ind w:left="0" w:firstLine="0"/>
    </w:pPr>
    <w:rPr>
      <w:rFonts w:ascii="Calibri" w:eastAsia="Tahoma" w:hAnsi="Calibri"/>
      <w:color w:val="2A2A2A"/>
      <w:kern w:val="0"/>
      <w:szCs w:val="22"/>
      <w:lang w:eastAsia="ja-JP"/>
      <w14:ligatures w14:val="none"/>
    </w:rPr>
  </w:style>
  <w:style w:type="table" w:styleId="TableGrid">
    <w:name w:val="Table Grid"/>
    <w:basedOn w:val="TableNormal"/>
    <w:uiPriority w:val="39"/>
    <w:rsid w:val="0005324A"/>
    <w:rPr>
      <w:rFonts w:ascii="Tahoma" w:eastAsia="Tahoma" w:hAnsi="Tahoma"/>
      <w:color w:val="2A2A2A"/>
      <w:kern w:val="0"/>
      <w:sz w:val="22"/>
      <w:szCs w:val="22"/>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odernPaper">
    <w:name w:val="Modern Paper"/>
    <w:basedOn w:val="TableNormal"/>
    <w:uiPriority w:val="99"/>
    <w:rsid w:val="0005324A"/>
    <w:pPr>
      <w:spacing w:before="200" w:after="200"/>
    </w:pPr>
    <w:rPr>
      <w:rFonts w:ascii="Tahoma" w:eastAsia="Tahoma" w:hAnsi="Tahoma"/>
      <w:color w:val="2A2A2A"/>
      <w:kern w:val="0"/>
      <w:sz w:val="22"/>
      <w:szCs w:val="22"/>
      <w:lang w:eastAsia="ja-JP"/>
      <w14:ligatures w14:val="none"/>
    </w:rPr>
    <w:tblPr>
      <w:tblBorders>
        <w:insideH w:val="single" w:sz="8" w:space="0" w:color="2A2A2A"/>
      </w:tblBorders>
      <w:tblCellMar>
        <w:left w:w="144" w:type="dxa"/>
        <w:right w:w="144" w:type="dxa"/>
      </w:tblCellMar>
    </w:tblPr>
    <w:tcPr>
      <w:vAlign w:val="center"/>
    </w:tcPr>
    <w:tblStylePr w:type="firstRow">
      <w:pPr>
        <w:wordWrap/>
        <w:spacing w:beforeLines="0" w:before="480" w:beforeAutospacing="0" w:afterLines="0" w:after="360" w:afterAutospacing="0" w:line="216" w:lineRule="auto"/>
        <w:contextualSpacing w:val="0"/>
      </w:pPr>
      <w:rPr>
        <w:rFonts w:ascii="Tahoma" w:hAnsi="Tahoma"/>
        <w:b/>
        <w:i w:val="0"/>
        <w:color w:val="E09B3B"/>
        <w:sz w:val="28"/>
      </w:rPr>
      <w:tblPr/>
      <w:trPr>
        <w:tblHeader/>
      </w:trPr>
      <w:tcPr>
        <w:tcBorders>
          <w:top w:val="nil"/>
          <w:left w:val="nil"/>
          <w:bottom w:val="single" w:sz="24" w:space="0" w:color="2A2A2A"/>
          <w:right w:val="nil"/>
          <w:insideH w:val="nil"/>
          <w:insideV w:val="nil"/>
          <w:tl2br w:val="nil"/>
          <w:tr2bl w:val="nil"/>
        </w:tcBorders>
      </w:tcPr>
    </w:tblStylePr>
    <w:tblStylePr w:type="firstCol">
      <w:pPr>
        <w:wordWrap/>
        <w:jc w:val="right"/>
      </w:pPr>
      <w:rPr>
        <w:b/>
      </w:rPr>
      <w:tblPr/>
      <w:tcPr>
        <w:tcMar>
          <w:top w:w="0" w:type="nil"/>
          <w:left w:w="0" w:type="nil"/>
          <w:bottom w:w="0" w:type="nil"/>
          <w:right w:w="432" w:type="dxa"/>
        </w:tcMar>
      </w:tcPr>
    </w:tblStylePr>
    <w:tblStylePr w:type="nwCell">
      <w:pPr>
        <w:wordWrap/>
        <w:jc w:val="left"/>
      </w:pPr>
    </w:tblStylePr>
  </w:style>
  <w:style w:type="character" w:customStyle="1" w:styleId="Emphasis1">
    <w:name w:val="Emphasis1"/>
    <w:basedOn w:val="DefaultParagraphFont"/>
    <w:uiPriority w:val="20"/>
    <w:semiHidden/>
    <w:unhideWhenUsed/>
    <w:qFormat/>
    <w:rsid w:val="0005324A"/>
    <w:rPr>
      <w:i w:val="0"/>
      <w:iCs/>
      <w:color w:val="E09B3B"/>
    </w:rPr>
  </w:style>
  <w:style w:type="character" w:styleId="Strong">
    <w:name w:val="Strong"/>
    <w:basedOn w:val="DefaultParagraphFont"/>
    <w:uiPriority w:val="22"/>
    <w:unhideWhenUsed/>
    <w:qFormat/>
    <w:rsid w:val="0005324A"/>
    <w:rPr>
      <w:b/>
      <w:bCs/>
    </w:rPr>
  </w:style>
  <w:style w:type="character" w:customStyle="1" w:styleId="SubtleReference1">
    <w:name w:val="Subtle Reference1"/>
    <w:basedOn w:val="DefaultParagraphFont"/>
    <w:uiPriority w:val="31"/>
    <w:semiHidden/>
    <w:unhideWhenUsed/>
    <w:qFormat/>
    <w:rsid w:val="0005324A"/>
    <w:rPr>
      <w:caps/>
      <w:smallCaps w:val="0"/>
      <w:color w:val="2A2A2A"/>
    </w:rPr>
  </w:style>
  <w:style w:type="character" w:styleId="BookTitle">
    <w:name w:val="Book Title"/>
    <w:basedOn w:val="DefaultParagraphFont"/>
    <w:uiPriority w:val="33"/>
    <w:unhideWhenUsed/>
    <w:qFormat/>
    <w:rsid w:val="0005324A"/>
    <w:rPr>
      <w:b w:val="0"/>
      <w:bCs/>
      <w:i w:val="0"/>
      <w:iCs/>
      <w:spacing w:val="0"/>
      <w:u w:val="single"/>
    </w:rPr>
  </w:style>
  <w:style w:type="paragraph" w:styleId="Caption">
    <w:name w:val="caption"/>
    <w:basedOn w:val="Normal"/>
    <w:next w:val="Normal"/>
    <w:uiPriority w:val="35"/>
    <w:semiHidden/>
    <w:unhideWhenUsed/>
    <w:qFormat/>
    <w:rsid w:val="0005324A"/>
    <w:pPr>
      <w:spacing w:after="200" w:line="312" w:lineRule="auto"/>
      <w:contextualSpacing/>
    </w:pPr>
    <w:rPr>
      <w:rFonts w:ascii="Calibri" w:eastAsia="Tahoma" w:hAnsi="Calibri"/>
      <w:i/>
      <w:iCs/>
      <w:color w:val="2A2A2A"/>
      <w:kern w:val="0"/>
      <w:szCs w:val="18"/>
      <w:lang w:eastAsia="ja-JP"/>
      <w14:ligatures w14:val="none"/>
    </w:rPr>
  </w:style>
  <w:style w:type="paragraph" w:styleId="TOCHeading">
    <w:name w:val="TOC Heading"/>
    <w:basedOn w:val="Heading1"/>
    <w:next w:val="Normal"/>
    <w:uiPriority w:val="39"/>
    <w:unhideWhenUsed/>
    <w:qFormat/>
    <w:rsid w:val="0005324A"/>
    <w:pPr>
      <w:pBdr>
        <w:left w:val="none" w:sz="0" w:space="0" w:color="auto"/>
      </w:pBdr>
      <w:spacing w:before="0" w:after="1560"/>
      <w:contextualSpacing/>
      <w:outlineLvl w:val="9"/>
    </w:pPr>
    <w:rPr>
      <w:rFonts w:ascii="Tahoma" w:hAnsi="Tahoma"/>
      <w:caps w:val="0"/>
      <w:color w:val="2A2A2A"/>
      <w:kern w:val="0"/>
      <w:sz w:val="96"/>
      <w:szCs w:val="32"/>
      <w:lang w:eastAsia="ja-JP"/>
      <w14:ligatures w14:val="none"/>
    </w:rPr>
  </w:style>
  <w:style w:type="character" w:styleId="PlaceholderText">
    <w:name w:val="Placeholder Text"/>
    <w:basedOn w:val="DefaultParagraphFont"/>
    <w:uiPriority w:val="99"/>
    <w:semiHidden/>
    <w:rsid w:val="0005324A"/>
    <w:rPr>
      <w:color w:val="808080"/>
    </w:rPr>
  </w:style>
  <w:style w:type="character" w:customStyle="1" w:styleId="SubtleEmphasis1">
    <w:name w:val="Subtle Emphasis1"/>
    <w:basedOn w:val="DefaultParagraphFont"/>
    <w:uiPriority w:val="19"/>
    <w:semiHidden/>
    <w:unhideWhenUsed/>
    <w:qFormat/>
    <w:rsid w:val="0005324A"/>
    <w:rPr>
      <w:i/>
      <w:iCs/>
      <w:color w:val="2A2A2A"/>
    </w:rPr>
  </w:style>
  <w:style w:type="paragraph" w:styleId="Header">
    <w:name w:val="header"/>
    <w:basedOn w:val="Normal"/>
    <w:link w:val="HeaderChar"/>
    <w:uiPriority w:val="99"/>
    <w:unhideWhenUsed/>
    <w:qFormat/>
    <w:rsid w:val="0005324A"/>
    <w:rPr>
      <w:rFonts w:ascii="Calibri" w:eastAsia="Tahoma" w:hAnsi="Calibri"/>
      <w:color w:val="2A2A2A"/>
      <w:kern w:val="0"/>
      <w:szCs w:val="22"/>
      <w:lang w:eastAsia="ja-JP"/>
      <w14:ligatures w14:val="none"/>
    </w:rPr>
  </w:style>
  <w:style w:type="character" w:customStyle="1" w:styleId="HeaderChar">
    <w:name w:val="Header Char"/>
    <w:basedOn w:val="DefaultParagraphFont"/>
    <w:link w:val="Header"/>
    <w:uiPriority w:val="99"/>
    <w:rsid w:val="0005324A"/>
    <w:rPr>
      <w:rFonts w:ascii="Calibri" w:eastAsia="Tahoma" w:hAnsi="Calibri"/>
      <w:color w:val="2A2A2A"/>
      <w:kern w:val="0"/>
      <w:szCs w:val="22"/>
      <w:lang w:eastAsia="ja-JP"/>
      <w14:ligatures w14:val="none"/>
    </w:rPr>
  </w:style>
  <w:style w:type="paragraph" w:styleId="ListNumber">
    <w:name w:val="List Number"/>
    <w:basedOn w:val="Normal"/>
    <w:uiPriority w:val="11"/>
    <w:qFormat/>
    <w:rsid w:val="0005324A"/>
    <w:pPr>
      <w:numPr>
        <w:numId w:val="6"/>
      </w:numPr>
      <w:tabs>
        <w:tab w:val="clear" w:pos="389"/>
      </w:tabs>
      <w:spacing w:after="120" w:line="312" w:lineRule="auto"/>
      <w:ind w:left="0" w:firstLine="0"/>
    </w:pPr>
    <w:rPr>
      <w:rFonts w:ascii="Calibri" w:eastAsia="Tahoma" w:hAnsi="Calibri"/>
      <w:color w:val="2A2A2A"/>
      <w:kern w:val="0"/>
      <w:szCs w:val="22"/>
      <w:lang w:eastAsia="ja-JP"/>
      <w14:ligatures w14:val="none"/>
    </w:rPr>
  </w:style>
  <w:style w:type="paragraph" w:customStyle="1" w:styleId="BlockText1">
    <w:name w:val="Block Text1"/>
    <w:basedOn w:val="Normal"/>
    <w:next w:val="BlockText"/>
    <w:uiPriority w:val="31"/>
    <w:unhideWhenUsed/>
    <w:rsid w:val="0005324A"/>
    <w:pPr>
      <w:spacing w:before="360" w:after="360" w:line="312" w:lineRule="auto"/>
    </w:pPr>
    <w:rPr>
      <w:rFonts w:ascii="Calibri" w:hAnsi="Calibri"/>
      <w:iCs/>
      <w:color w:val="3E3E3E"/>
      <w:kern w:val="0"/>
      <w:sz w:val="28"/>
      <w:szCs w:val="22"/>
      <w:lang w:eastAsia="ja-JP"/>
      <w14:ligatures w14:val="none"/>
    </w:rPr>
  </w:style>
  <w:style w:type="paragraph" w:customStyle="1" w:styleId="TOC11">
    <w:name w:val="TOC 11"/>
    <w:basedOn w:val="Normal"/>
    <w:next w:val="Normal"/>
    <w:autoRedefine/>
    <w:uiPriority w:val="39"/>
    <w:unhideWhenUsed/>
    <w:rsid w:val="0005324A"/>
    <w:pPr>
      <w:spacing w:before="120" w:line="312" w:lineRule="auto"/>
    </w:pPr>
    <w:rPr>
      <w:rFonts w:ascii="Tahoma" w:eastAsia="Tahoma" w:hAnsi="Tahoma" w:cs="Tahoma"/>
      <w:b/>
      <w:bCs/>
      <w:i/>
      <w:iCs/>
      <w:color w:val="2A2A2A"/>
      <w:kern w:val="0"/>
      <w:szCs w:val="28"/>
      <w:lang w:eastAsia="ja-JP"/>
      <w14:ligatures w14:val="none"/>
    </w:rPr>
  </w:style>
  <w:style w:type="paragraph" w:customStyle="1" w:styleId="TOC21">
    <w:name w:val="TOC 21"/>
    <w:basedOn w:val="Normal"/>
    <w:next w:val="Normal"/>
    <w:autoRedefine/>
    <w:uiPriority w:val="39"/>
    <w:unhideWhenUsed/>
    <w:rsid w:val="0005324A"/>
    <w:pPr>
      <w:spacing w:before="120" w:line="312" w:lineRule="auto"/>
      <w:ind w:left="220"/>
    </w:pPr>
    <w:rPr>
      <w:rFonts w:ascii="Tahoma" w:eastAsia="Tahoma" w:hAnsi="Tahoma" w:cs="Tahoma"/>
      <w:b/>
      <w:bCs/>
      <w:color w:val="2A2A2A"/>
      <w:kern w:val="0"/>
      <w:szCs w:val="26"/>
      <w:lang w:eastAsia="ja-JP"/>
      <w14:ligatures w14:val="none"/>
    </w:rPr>
  </w:style>
  <w:style w:type="paragraph" w:customStyle="1" w:styleId="TOC31">
    <w:name w:val="TOC 31"/>
    <w:basedOn w:val="Normal"/>
    <w:next w:val="Normal"/>
    <w:autoRedefine/>
    <w:uiPriority w:val="39"/>
    <w:unhideWhenUsed/>
    <w:rsid w:val="0005324A"/>
    <w:pPr>
      <w:spacing w:line="312" w:lineRule="auto"/>
      <w:ind w:left="440"/>
    </w:pPr>
    <w:rPr>
      <w:rFonts w:ascii="Tahoma" w:eastAsia="Tahoma" w:hAnsi="Tahoma" w:cs="Tahoma"/>
      <w:color w:val="2A2A2A"/>
      <w:kern w:val="0"/>
      <w:sz w:val="20"/>
      <w:lang w:eastAsia="ja-JP"/>
      <w14:ligatures w14:val="none"/>
    </w:rPr>
  </w:style>
  <w:style w:type="character" w:customStyle="1" w:styleId="Hyperlink1">
    <w:name w:val="Hyperlink1"/>
    <w:basedOn w:val="DefaultParagraphFont"/>
    <w:uiPriority w:val="99"/>
    <w:unhideWhenUsed/>
    <w:rsid w:val="0005324A"/>
    <w:rPr>
      <w:color w:val="847B97"/>
      <w:u w:val="single"/>
    </w:rPr>
  </w:style>
  <w:style w:type="paragraph" w:customStyle="1" w:styleId="TOC41">
    <w:name w:val="TOC 41"/>
    <w:basedOn w:val="Normal"/>
    <w:next w:val="Normal"/>
    <w:autoRedefine/>
    <w:uiPriority w:val="39"/>
    <w:semiHidden/>
    <w:unhideWhenUsed/>
    <w:rsid w:val="0005324A"/>
    <w:pPr>
      <w:spacing w:line="312" w:lineRule="auto"/>
      <w:ind w:left="660"/>
    </w:pPr>
    <w:rPr>
      <w:rFonts w:ascii="Tahoma" w:eastAsia="Tahoma" w:hAnsi="Tahoma" w:cs="Tahoma"/>
      <w:color w:val="2A2A2A"/>
      <w:kern w:val="0"/>
      <w:sz w:val="20"/>
      <w:lang w:eastAsia="ja-JP"/>
      <w14:ligatures w14:val="none"/>
    </w:rPr>
  </w:style>
  <w:style w:type="paragraph" w:customStyle="1" w:styleId="TOC51">
    <w:name w:val="TOC 51"/>
    <w:basedOn w:val="Normal"/>
    <w:next w:val="Normal"/>
    <w:autoRedefine/>
    <w:uiPriority w:val="39"/>
    <w:semiHidden/>
    <w:unhideWhenUsed/>
    <w:rsid w:val="0005324A"/>
    <w:pPr>
      <w:spacing w:line="312" w:lineRule="auto"/>
      <w:ind w:left="880"/>
    </w:pPr>
    <w:rPr>
      <w:rFonts w:ascii="Tahoma" w:eastAsia="Tahoma" w:hAnsi="Tahoma" w:cs="Tahoma"/>
      <w:color w:val="2A2A2A"/>
      <w:kern w:val="0"/>
      <w:sz w:val="20"/>
      <w:lang w:eastAsia="ja-JP"/>
      <w14:ligatures w14:val="none"/>
    </w:rPr>
  </w:style>
  <w:style w:type="paragraph" w:customStyle="1" w:styleId="TOC61">
    <w:name w:val="TOC 61"/>
    <w:basedOn w:val="Normal"/>
    <w:next w:val="Normal"/>
    <w:autoRedefine/>
    <w:uiPriority w:val="39"/>
    <w:semiHidden/>
    <w:unhideWhenUsed/>
    <w:rsid w:val="0005324A"/>
    <w:pPr>
      <w:spacing w:line="312" w:lineRule="auto"/>
      <w:ind w:left="1100"/>
    </w:pPr>
    <w:rPr>
      <w:rFonts w:ascii="Tahoma" w:eastAsia="Tahoma" w:hAnsi="Tahoma" w:cs="Tahoma"/>
      <w:color w:val="2A2A2A"/>
      <w:kern w:val="0"/>
      <w:sz w:val="20"/>
      <w:lang w:eastAsia="ja-JP"/>
      <w14:ligatures w14:val="none"/>
    </w:rPr>
  </w:style>
  <w:style w:type="paragraph" w:customStyle="1" w:styleId="TOC71">
    <w:name w:val="TOC 71"/>
    <w:basedOn w:val="Normal"/>
    <w:next w:val="Normal"/>
    <w:autoRedefine/>
    <w:uiPriority w:val="39"/>
    <w:semiHidden/>
    <w:unhideWhenUsed/>
    <w:rsid w:val="0005324A"/>
    <w:pPr>
      <w:spacing w:line="312" w:lineRule="auto"/>
      <w:ind w:left="1320"/>
    </w:pPr>
    <w:rPr>
      <w:rFonts w:ascii="Tahoma" w:eastAsia="Tahoma" w:hAnsi="Tahoma" w:cs="Tahoma"/>
      <w:color w:val="2A2A2A"/>
      <w:kern w:val="0"/>
      <w:sz w:val="20"/>
      <w:lang w:eastAsia="ja-JP"/>
      <w14:ligatures w14:val="none"/>
    </w:rPr>
  </w:style>
  <w:style w:type="paragraph" w:customStyle="1" w:styleId="TOC81">
    <w:name w:val="TOC 81"/>
    <w:basedOn w:val="Normal"/>
    <w:next w:val="Normal"/>
    <w:autoRedefine/>
    <w:uiPriority w:val="39"/>
    <w:semiHidden/>
    <w:unhideWhenUsed/>
    <w:rsid w:val="0005324A"/>
    <w:pPr>
      <w:spacing w:line="312" w:lineRule="auto"/>
      <w:ind w:left="1540"/>
    </w:pPr>
    <w:rPr>
      <w:rFonts w:ascii="Tahoma" w:eastAsia="Tahoma" w:hAnsi="Tahoma" w:cs="Tahoma"/>
      <w:color w:val="2A2A2A"/>
      <w:kern w:val="0"/>
      <w:sz w:val="20"/>
      <w:lang w:eastAsia="ja-JP"/>
      <w14:ligatures w14:val="none"/>
    </w:rPr>
  </w:style>
  <w:style w:type="paragraph" w:customStyle="1" w:styleId="TOC91">
    <w:name w:val="TOC 91"/>
    <w:basedOn w:val="Normal"/>
    <w:next w:val="Normal"/>
    <w:autoRedefine/>
    <w:uiPriority w:val="39"/>
    <w:semiHidden/>
    <w:unhideWhenUsed/>
    <w:rsid w:val="0005324A"/>
    <w:pPr>
      <w:spacing w:line="312" w:lineRule="auto"/>
      <w:ind w:left="1760"/>
    </w:pPr>
    <w:rPr>
      <w:rFonts w:ascii="Tahoma" w:eastAsia="Tahoma" w:hAnsi="Tahoma" w:cs="Tahoma"/>
      <w:color w:val="2A2A2A"/>
      <w:kern w:val="0"/>
      <w:sz w:val="20"/>
      <w:lang w:eastAsia="ja-JP"/>
      <w14:ligatures w14:val="none"/>
    </w:rPr>
  </w:style>
  <w:style w:type="paragraph" w:styleId="FootnoteText">
    <w:name w:val="footnote text"/>
    <w:basedOn w:val="Normal"/>
    <w:link w:val="FootnoteTextChar"/>
    <w:uiPriority w:val="99"/>
    <w:semiHidden/>
    <w:unhideWhenUsed/>
    <w:rsid w:val="0005324A"/>
    <w:rPr>
      <w:rFonts w:ascii="Calibri" w:eastAsia="Tahoma" w:hAnsi="Calibri"/>
      <w:color w:val="2A2A2A"/>
      <w:kern w:val="0"/>
      <w:sz w:val="20"/>
      <w:szCs w:val="20"/>
      <w:lang w:eastAsia="ja-JP"/>
      <w14:ligatures w14:val="none"/>
    </w:rPr>
  </w:style>
  <w:style w:type="character" w:customStyle="1" w:styleId="FootnoteTextChar">
    <w:name w:val="Footnote Text Char"/>
    <w:basedOn w:val="DefaultParagraphFont"/>
    <w:link w:val="FootnoteText"/>
    <w:uiPriority w:val="99"/>
    <w:semiHidden/>
    <w:rsid w:val="0005324A"/>
    <w:rPr>
      <w:rFonts w:ascii="Calibri" w:eastAsia="Tahoma" w:hAnsi="Calibri"/>
      <w:color w:val="2A2A2A"/>
      <w:kern w:val="0"/>
      <w:sz w:val="20"/>
      <w:szCs w:val="20"/>
      <w:lang w:eastAsia="ja-JP"/>
      <w14:ligatures w14:val="none"/>
    </w:rPr>
  </w:style>
  <w:style w:type="character" w:styleId="FootnoteReference">
    <w:name w:val="footnote reference"/>
    <w:basedOn w:val="DefaultParagraphFont"/>
    <w:uiPriority w:val="99"/>
    <w:semiHidden/>
    <w:unhideWhenUsed/>
    <w:rsid w:val="0005324A"/>
    <w:rPr>
      <w:vertAlign w:val="superscript"/>
    </w:rPr>
  </w:style>
  <w:style w:type="character" w:styleId="PageNumber">
    <w:name w:val="page number"/>
    <w:basedOn w:val="DefaultParagraphFont"/>
    <w:uiPriority w:val="99"/>
    <w:semiHidden/>
    <w:unhideWhenUsed/>
    <w:rsid w:val="0005324A"/>
  </w:style>
  <w:style w:type="table" w:customStyle="1" w:styleId="TableGridLight1">
    <w:name w:val="Table Grid Light1"/>
    <w:basedOn w:val="TableNormal"/>
    <w:next w:val="TableGridLight"/>
    <w:uiPriority w:val="40"/>
    <w:rsid w:val="0005324A"/>
    <w:rPr>
      <w:rFonts w:ascii="Tahoma" w:eastAsia="Tahoma" w:hAnsi="Tahoma"/>
      <w:color w:val="2A2A2A"/>
      <w:kern w:val="0"/>
      <w:sz w:val="22"/>
      <w:szCs w:val="22"/>
      <w:lang w:eastAsia="ja-JP"/>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21">
    <w:name w:val="Plain Table 21"/>
    <w:basedOn w:val="TableNormal"/>
    <w:next w:val="PlainTable2"/>
    <w:uiPriority w:val="42"/>
    <w:rsid w:val="0005324A"/>
    <w:rPr>
      <w:rFonts w:ascii="Tahoma" w:eastAsia="Tahoma" w:hAnsi="Tahoma"/>
      <w:color w:val="2A2A2A"/>
      <w:kern w:val="0"/>
      <w:sz w:val="22"/>
      <w:szCs w:val="22"/>
      <w:lang w:eastAsia="ja-JP"/>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11">
    <w:name w:val="Plain Table 11"/>
    <w:basedOn w:val="TableNormal"/>
    <w:next w:val="PlainTable1"/>
    <w:uiPriority w:val="41"/>
    <w:rsid w:val="0005324A"/>
    <w:rPr>
      <w:rFonts w:ascii="Tahoma" w:eastAsia="Tahoma" w:hAnsi="Tahoma"/>
      <w:color w:val="2A2A2A"/>
      <w:kern w:val="0"/>
      <w:sz w:val="22"/>
      <w:szCs w:val="22"/>
      <w:lang w:eastAsia="ja-JP"/>
      <w14:ligatures w14:val="non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Emphasis">
    <w:name w:val="Emphasis"/>
    <w:basedOn w:val="DefaultParagraphFont"/>
    <w:uiPriority w:val="20"/>
    <w:qFormat/>
    <w:rsid w:val="0005324A"/>
    <w:rPr>
      <w:i/>
      <w:iCs/>
    </w:rPr>
  </w:style>
  <w:style w:type="character" w:styleId="SubtleReference">
    <w:name w:val="Subtle Reference"/>
    <w:basedOn w:val="DefaultParagraphFont"/>
    <w:uiPriority w:val="31"/>
    <w:qFormat/>
    <w:rsid w:val="0005324A"/>
    <w:rPr>
      <w:smallCaps/>
      <w:color w:val="5A5A5A" w:themeColor="text1" w:themeTint="A5"/>
    </w:rPr>
  </w:style>
  <w:style w:type="character" w:styleId="SubtleEmphasis">
    <w:name w:val="Subtle Emphasis"/>
    <w:basedOn w:val="DefaultParagraphFont"/>
    <w:uiPriority w:val="19"/>
    <w:qFormat/>
    <w:rsid w:val="0005324A"/>
    <w:rPr>
      <w:i/>
      <w:iCs/>
      <w:color w:val="404040" w:themeColor="text1" w:themeTint="BF"/>
    </w:rPr>
  </w:style>
  <w:style w:type="paragraph" w:styleId="BlockText">
    <w:name w:val="Block Text"/>
    <w:basedOn w:val="Normal"/>
    <w:uiPriority w:val="99"/>
    <w:semiHidden/>
    <w:unhideWhenUsed/>
    <w:rsid w:val="0005324A"/>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hAnsiTheme="minorHAnsi"/>
      <w:i/>
      <w:iCs/>
      <w:color w:val="4472C4" w:themeColor="accent1"/>
    </w:rPr>
  </w:style>
  <w:style w:type="character" w:styleId="Hyperlink">
    <w:name w:val="Hyperlink"/>
    <w:basedOn w:val="DefaultParagraphFont"/>
    <w:uiPriority w:val="99"/>
    <w:semiHidden/>
    <w:unhideWhenUsed/>
    <w:rsid w:val="0005324A"/>
    <w:rPr>
      <w:color w:val="0563C1" w:themeColor="hyperlink"/>
      <w:u w:val="single"/>
    </w:rPr>
  </w:style>
  <w:style w:type="table" w:styleId="TableGridLight">
    <w:name w:val="Grid Table Light"/>
    <w:basedOn w:val="TableNormal"/>
    <w:uiPriority w:val="40"/>
    <w:rsid w:val="0005324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05324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05324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10873</Words>
  <Characters>50891</Characters>
  <Application>Microsoft Office Word</Application>
  <DocSecurity>0</DocSecurity>
  <Lines>820</Lines>
  <Paragraphs>372</Paragraphs>
  <ScaleCrop>false</ScaleCrop>
  <Company/>
  <LinksUpToDate>false</LinksUpToDate>
  <CharactersWithSpaces>61392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Bell</dc:creator>
  <cp:keywords/>
  <dc:description/>
  <cp:lastModifiedBy>Josh Bell</cp:lastModifiedBy>
  <cp:revision>1</cp:revision>
  <dcterms:created xsi:type="dcterms:W3CDTF">2026-04-08T11:47:00Z</dcterms:created>
  <dcterms:modified xsi:type="dcterms:W3CDTF">2026-04-08T11:48:00Z</dcterms:modified>
</cp:coreProperties>
</file>